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32" w:rsidRDefault="00A22C18">
      <w:pPr>
        <w:shd w:val="clear" w:color="auto" w:fill="FFFFFF"/>
        <w:spacing w:line="480" w:lineRule="auto"/>
        <w:contextualSpacing/>
        <w:textAlignment w:val="baseline"/>
        <w:rPr>
          <w:rFonts w:ascii="Times New Roman" w:hAnsi="Times New Roman" w:cs="Arial"/>
          <w:b/>
          <w:sz w:val="24"/>
          <w:szCs w:val="24"/>
        </w:rPr>
      </w:pPr>
      <w:r>
        <w:rPr>
          <w:rFonts w:ascii="Times New Roman" w:hAnsi="Times New Roman" w:cs="Arial"/>
          <w:b/>
          <w:sz w:val="24"/>
          <w:szCs w:val="24"/>
        </w:rPr>
        <w:t>Supplemental Data, S1.</w:t>
      </w:r>
    </w:p>
    <w:p w:rsidR="00A22C18" w:rsidRDefault="00A22C18" w:rsidP="00AF2C8A">
      <w:pPr>
        <w:spacing w:after="0" w:line="240" w:lineRule="auto"/>
        <w:rPr>
          <w:rFonts w:ascii="Times New Roman" w:hAnsi="Times New Roman"/>
          <w:b/>
          <w:iCs/>
          <w:sz w:val="24"/>
          <w:szCs w:val="24"/>
        </w:rPr>
      </w:pPr>
    </w:p>
    <w:p w:rsidR="00AF2C8A" w:rsidRDefault="00AF2C8A" w:rsidP="00AF2C8A">
      <w:pPr>
        <w:spacing w:after="0" w:line="240" w:lineRule="auto"/>
        <w:rPr>
          <w:rFonts w:ascii="Times New Roman" w:hAnsi="Times New Roman"/>
          <w:b/>
          <w:iCs/>
          <w:sz w:val="24"/>
          <w:szCs w:val="24"/>
        </w:rPr>
      </w:pPr>
      <w:r>
        <w:rPr>
          <w:rFonts w:ascii="Times New Roman" w:hAnsi="Times New Roman"/>
          <w:b/>
          <w:iCs/>
          <w:sz w:val="24"/>
          <w:szCs w:val="24"/>
        </w:rPr>
        <w:t>Expanded NGS panel gene lists.</w:t>
      </w:r>
    </w:p>
    <w:p w:rsidR="00AF2C8A" w:rsidRDefault="00AF2C8A" w:rsidP="00AF2C8A">
      <w:pPr>
        <w:spacing w:after="0" w:line="240" w:lineRule="auto"/>
        <w:rPr>
          <w:rFonts w:ascii="Times New Roman" w:hAnsi="Times New Roman"/>
          <w:b/>
          <w:iCs/>
          <w:sz w:val="24"/>
          <w:szCs w:val="24"/>
        </w:rPr>
      </w:pPr>
    </w:p>
    <w:p w:rsidR="00AF2C8A" w:rsidRDefault="00AF2C8A" w:rsidP="00AF2C8A">
      <w:pPr>
        <w:spacing w:after="0" w:line="240" w:lineRule="auto"/>
        <w:rPr>
          <w:rFonts w:ascii="Times New Roman" w:hAnsi="Times New Roman" w:cs="Arial"/>
          <w:sz w:val="24"/>
          <w:szCs w:val="24"/>
        </w:rPr>
      </w:pPr>
      <w:r w:rsidRPr="00AF2C8A">
        <w:rPr>
          <w:rFonts w:ascii="Times New Roman" w:hAnsi="Times New Roman" w:cs="Arial"/>
          <w:b/>
          <w:sz w:val="24"/>
          <w:szCs w:val="24"/>
        </w:rPr>
        <w:t>1)</w:t>
      </w:r>
      <w:r>
        <w:rPr>
          <w:rFonts w:ascii="Times New Roman" w:hAnsi="Times New Roman" w:cs="Arial"/>
          <w:sz w:val="24"/>
          <w:szCs w:val="24"/>
        </w:rPr>
        <w:t xml:space="preserve"> </w:t>
      </w:r>
      <w:r w:rsidRPr="00A22C18">
        <w:rPr>
          <w:rFonts w:ascii="Times New Roman" w:hAnsi="Times New Roman" w:cs="Arial"/>
          <w:b/>
          <w:sz w:val="24"/>
          <w:szCs w:val="24"/>
        </w:rPr>
        <w:t>NMPAN- Myopathy Expanded panel</w:t>
      </w:r>
      <w:r>
        <w:rPr>
          <w:rFonts w:ascii="Times New Roman" w:hAnsi="Times New Roman" w:cs="Arial"/>
          <w:b/>
          <w:sz w:val="24"/>
          <w:szCs w:val="24"/>
        </w:rPr>
        <w:t>:</w:t>
      </w:r>
      <w:r>
        <w:rPr>
          <w:rFonts w:ascii="Times New Roman" w:hAnsi="Times New Roman" w:cs="Arial"/>
          <w:sz w:val="24"/>
          <w:szCs w:val="24"/>
        </w:rPr>
        <w:t xml:space="preserve"> </w:t>
      </w:r>
      <w:r>
        <w:rPr>
          <w:rFonts w:ascii="Times New Roman" w:hAnsi="Times New Roman" w:cs="Arial"/>
          <w:i/>
          <w:sz w:val="24"/>
          <w:szCs w:val="24"/>
        </w:rPr>
        <w:t>ABHD5, ACAD9, ACADL, ACADM, ACADS, ACADVL, ACTA1, ADGRG6, AGL, ANO5, B3GALNT2, B4GAT1, BAG3, BIN1, BVES, CAPN3, CAV3, CAVIN1, CCDC78, CFL2, CHKB, CNTN1, COL12A1, COL6A1, COL6A2, COL6A3, COQ2, COQ4, COQ6, COQ8A, COQ9, CPT1B, CPT2, CRYAB, DAG1, DES, DMD, DNAJB6, DNM2, DOLK, DPM1, DPM2, DPM3, DYSF, EMD, ENO3, ETFA, ETFB, ETFDH, FAM111B, FHL1, FKRP, FKTN, FLNC, GBE1, GGPS1, GMPPA, GMPPB, GNE, GOSR2, GYG1, GYS1, HADHA, HADHB, HNRNPA1, HNRNPA2B1, HNRNPDL, HRAS, ISPD, ITGA7, KBTBD13, KLHL40, KLHL41, KY, LAMA2, LAMP2, LARGE, LDB3, LDHA, LMNA, LPIN1, LRSAM1, MATR3, MTM1, MYF6, MYH2, MYH7, MYO18B, MYOT, NEB, NHLRC1, ORAI1, PDSS1, PDSS2, PFKM, PGAM2, PGK1, PGM1, PHKA1, PLEC, PNPLA2, POMGNT1, POMGNT2, POMK, POMT1, POMT2, PRKAG2, PYGM, RBCK1, RYR1, SBDS, SELENON, SGCA, SGCB, SGCD, SGCG, SLC22A5, SLC25A20, SMCHD1, SPEG, SQSTM1, SRPK3, STAC3, STIM1, SYNE1, TCAP, TIA1, TMEM43, TMEM5, TNNT1, TNPO3, TPM2, TPM3, TRAPPC11, TRDN, TRIM32, TRIM54, TRIM63, TTN, VCP, VMA21</w:t>
      </w:r>
      <w:r>
        <w:rPr>
          <w:rFonts w:ascii="Times New Roman" w:hAnsi="Times New Roman" w:cs="Arial"/>
          <w:sz w:val="24"/>
          <w:szCs w:val="24"/>
        </w:rPr>
        <w:t xml:space="preserve">. </w:t>
      </w:r>
    </w:p>
    <w:p w:rsidR="00AF2C8A" w:rsidRDefault="00AF2C8A" w:rsidP="00AF2C8A">
      <w:pPr>
        <w:spacing w:after="0" w:line="240" w:lineRule="auto"/>
        <w:rPr>
          <w:rFonts w:ascii="Times New Roman" w:hAnsi="Times New Roman" w:cs="Arial"/>
          <w:sz w:val="24"/>
          <w:szCs w:val="24"/>
        </w:rPr>
      </w:pPr>
    </w:p>
    <w:p w:rsidR="00AF2C8A" w:rsidRDefault="00AF2C8A" w:rsidP="00AF2C8A">
      <w:pPr>
        <w:spacing w:after="0" w:line="240" w:lineRule="auto"/>
        <w:rPr>
          <w:rFonts w:ascii="Times New Roman" w:hAnsi="Times New Roman" w:cs="Arial"/>
          <w:sz w:val="24"/>
          <w:szCs w:val="24"/>
        </w:rPr>
      </w:pPr>
      <w:r w:rsidRPr="00AF2C8A">
        <w:rPr>
          <w:rFonts w:ascii="Times New Roman" w:hAnsi="Times New Roman" w:cs="Arial"/>
          <w:b/>
          <w:sz w:val="24"/>
          <w:szCs w:val="24"/>
        </w:rPr>
        <w:t>2)</w:t>
      </w:r>
      <w:r>
        <w:rPr>
          <w:rFonts w:ascii="Times New Roman" w:hAnsi="Times New Roman" w:cs="Arial"/>
          <w:sz w:val="24"/>
          <w:szCs w:val="24"/>
        </w:rPr>
        <w:t xml:space="preserve"> </w:t>
      </w:r>
      <w:r w:rsidRPr="00A22C18">
        <w:rPr>
          <w:rFonts w:ascii="Times New Roman" w:hAnsi="Times New Roman" w:cs="Arial"/>
          <w:b/>
          <w:sz w:val="24"/>
          <w:szCs w:val="24"/>
        </w:rPr>
        <w:t>NMPAN- Distal Weakness Expanded Panel</w:t>
      </w:r>
      <w:r>
        <w:rPr>
          <w:rFonts w:ascii="Times New Roman" w:hAnsi="Times New Roman" w:cs="Arial"/>
          <w:b/>
          <w:sz w:val="24"/>
          <w:szCs w:val="24"/>
        </w:rPr>
        <w:t>:</w:t>
      </w:r>
      <w:r>
        <w:rPr>
          <w:rFonts w:ascii="Times New Roman" w:hAnsi="Times New Roman" w:cs="Arial"/>
          <w:sz w:val="24"/>
          <w:szCs w:val="24"/>
        </w:rPr>
        <w:t xml:space="preserve"> </w:t>
      </w:r>
      <w:r>
        <w:rPr>
          <w:rFonts w:ascii="Times New Roman" w:hAnsi="Times New Roman" w:cs="Arial"/>
          <w:i/>
          <w:sz w:val="24"/>
          <w:szCs w:val="24"/>
        </w:rPr>
        <w:t>AAAS, AARS, ABCA1, ABCD1, ACTA1, ADCY6, AIFM1, AMACR, ANO5, AP1S1, AP4B1, AP4E1, AP4M1, AP4S1, AP5Z1, APOA1, APTX, ARHGEF10, ARSA, ATL1, ATM, ATP7A, B2M, B4GALNT1, BAG3, BCKDHB, BICD2, BIN1, BSCL2, C12orf65, CAV3, CCT5, CLCF1, CNTNAP1, COX10, CPOX, CRLF1, CRYAB, CTDP1, CTSA, CYP27A1, CYP2U1, CYP7B1, DARS2, DCAF8, DCTN1, DDHD1, DDHD2, DES, DGUOK, DHH, DHTKD1, DNAJB2, DNAJB6, DNM2, DNMT1, DST, DYNC1H1, DYSF, EGR2, ERBB3, ERCC6, ERCC8, ERLIN2, FA2H, FAH, FAM126A, FAM134B, FBLN5, FBXO38, FGD4, FGF14, FHL1, FIG4, FLNC, FLVCR1, FMR1, GALC, GAN, GARS, GBA2, GBE1, GDAP1, GJB1, GJB3, GJC2, GLA, GNB4, GNE, GSN, HADHA, HADHB, HARS, HINT1, HK1, HMBS, HNRNPA1, HNRNPA2B1, HSPB1, HSPB3, HSPB8, HSPD1, IGHMBP2, IKBKAP, INF2, KARS, KIF1A, KIF1B, KIF5A, L1CAM, LAMA2, LDB3, LITAF, LMNA, LRSAM1, LYST, MAF, MARS, MATR3, MED25, MFN2, MMACHC, MPV17, MPZ, MTMR2, MTTP, MYH14, MYH2, MYH7, MYOT, NAGA, NAGLU, NDRG1, NEB, NEFL, NF2, NGF, NHLRC1, NIPA1, OAT, OPA1, PANK2, PDHA1, PDK3, PDYN, PEX10, PEX7, PHYH, PLA2G6, PLEKHG5, PLOD1, PLP1, PMM2, PMP2, PMP22, PNKP, PNPLA6, POLG, PPOX, PRNP, PRPS1, PRX, RAB7A, REEP1, RRM2B, RTN2, SACS, SBF1, SBF2, SCN10A, SCN11A, SCN9A, SCO2, SCP2, SELENON, SETX, SH3TC2, SLC12A6, SLC16A2, SLC25A19, SLC25A46, SLC33A1, SLC52A2, SLC5A7, SNAP29, SOD1, SOX10, SPAST, SPG11, SPG20, SPG21, SPG7, SPTLC1, SPTLC2, SQSTM1, SURF1, TDP1, TECPR2, TFG, TIA1, TRIM2, TRPA1, TRPV4, TTN, TTPA, TTR, TUBB3, TWNK, TYMP, VCP, VPS37A, WASHC5, WNK1, XPA, XPC, YARS, ZFYVE26</w:t>
      </w:r>
      <w:r>
        <w:rPr>
          <w:rFonts w:ascii="Times New Roman" w:hAnsi="Times New Roman" w:cs="Arial"/>
          <w:sz w:val="24"/>
          <w:szCs w:val="24"/>
        </w:rPr>
        <w:t>.</w:t>
      </w:r>
    </w:p>
    <w:p w:rsidR="00AF2C8A" w:rsidRDefault="00AF2C8A">
      <w:pPr>
        <w:shd w:val="clear" w:color="auto" w:fill="FFFFFF"/>
        <w:spacing w:line="480" w:lineRule="auto"/>
        <w:contextualSpacing/>
        <w:textAlignment w:val="baseline"/>
        <w:rPr>
          <w:rFonts w:ascii="Times New Roman" w:hAnsi="Times New Roman" w:cs="Arial"/>
          <w:b/>
          <w:sz w:val="24"/>
          <w:szCs w:val="24"/>
        </w:rPr>
      </w:pPr>
    </w:p>
    <w:p w:rsidR="00FB6732" w:rsidRDefault="00A22C18">
      <w:pPr>
        <w:shd w:val="clear" w:color="auto" w:fill="FFFFFF"/>
        <w:spacing w:line="480" w:lineRule="auto"/>
        <w:contextualSpacing/>
        <w:textAlignment w:val="baseline"/>
        <w:rPr>
          <w:rFonts w:ascii="Times New Roman" w:hAnsi="Times New Roman" w:cs="Arial"/>
          <w:b/>
          <w:sz w:val="24"/>
          <w:szCs w:val="24"/>
        </w:rPr>
      </w:pPr>
      <w:proofErr w:type="gramStart"/>
      <w:r>
        <w:rPr>
          <w:rFonts w:ascii="Times New Roman" w:hAnsi="Times New Roman" w:cs="Arial"/>
          <w:b/>
          <w:sz w:val="24"/>
          <w:szCs w:val="24"/>
        </w:rPr>
        <w:t xml:space="preserve">Molecular Genetics </w:t>
      </w:r>
      <w:r>
        <w:rPr>
          <w:rFonts w:ascii="Times New Roman" w:hAnsi="Times New Roman" w:cs="Arial"/>
          <w:b/>
          <w:sz w:val="24"/>
          <w:szCs w:val="24"/>
        </w:rPr>
        <w:t>analysis.</w:t>
      </w:r>
      <w:proofErr w:type="gramEnd"/>
    </w:p>
    <w:p w:rsidR="00FB6732" w:rsidRDefault="00A22C18">
      <w:pPr>
        <w:spacing w:after="0" w:line="480" w:lineRule="auto"/>
        <w:rPr>
          <w:rFonts w:ascii="Times New Roman" w:hAnsi="Times New Roman"/>
          <w:sz w:val="24"/>
          <w:szCs w:val="24"/>
        </w:rPr>
      </w:pPr>
      <w:r>
        <w:rPr>
          <w:rFonts w:ascii="Times New Roman" w:hAnsi="Times New Roman" w:cs="Arial"/>
          <w:b/>
          <w:sz w:val="24"/>
          <w:szCs w:val="24"/>
        </w:rPr>
        <w:t>Expanded NGS panel testing of the proband of family 2</w:t>
      </w:r>
      <w:r>
        <w:rPr>
          <w:rFonts w:ascii="Times New Roman" w:hAnsi="Times New Roman" w:cs="Arial"/>
          <w:sz w:val="24"/>
          <w:szCs w:val="24"/>
        </w:rPr>
        <w:t xml:space="preserve">: As clinical gene analysis was initially thought to be non-diagnostic, a 217 gene Distal Weakness Expanded Panel and a 141 </w:t>
      </w:r>
      <w:r>
        <w:rPr>
          <w:rFonts w:ascii="Times New Roman" w:hAnsi="Times New Roman" w:cs="Arial"/>
          <w:sz w:val="24"/>
          <w:szCs w:val="24"/>
        </w:rPr>
        <w:lastRenderedPageBreak/>
        <w:t>gene Myopathy Expanded Panel were performed on the prob</w:t>
      </w:r>
      <w:r>
        <w:rPr>
          <w:rFonts w:ascii="Times New Roman" w:hAnsi="Times New Roman" w:cs="Arial"/>
          <w:sz w:val="24"/>
          <w:szCs w:val="24"/>
        </w:rPr>
        <w:t xml:space="preserve">and of family 2 (see gene list below). </w:t>
      </w:r>
      <w:r>
        <w:rPr>
          <w:rFonts w:ascii="Times New Roman" w:hAnsi="Times New Roman"/>
          <w:sz w:val="24"/>
          <w:szCs w:val="24"/>
        </w:rPr>
        <w:t xml:space="preserve">All coding regions and key regulatory regions of these genes were analyzed by targeted NGS next generation sequencing. The </w:t>
      </w:r>
      <w:proofErr w:type="spellStart"/>
      <w:r>
        <w:rPr>
          <w:rFonts w:ascii="Times New Roman" w:hAnsi="Times New Roman"/>
          <w:sz w:val="24"/>
          <w:szCs w:val="24"/>
        </w:rPr>
        <w:t>proband’s</w:t>
      </w:r>
      <w:proofErr w:type="spellEnd"/>
      <w:r>
        <w:rPr>
          <w:rFonts w:ascii="Times New Roman" w:hAnsi="Times New Roman"/>
          <w:sz w:val="24"/>
          <w:szCs w:val="24"/>
        </w:rPr>
        <w:t xml:space="preserve"> genomic DNA was sheared by sonication, captured using a custom reagent developed by </w:t>
      </w:r>
      <w:r>
        <w:rPr>
          <w:rFonts w:ascii="Times New Roman" w:hAnsi="Times New Roman"/>
          <w:sz w:val="24"/>
          <w:szCs w:val="24"/>
        </w:rPr>
        <w:t>Mayo Clinic Genomics Laboratory and Agilent Technologies, and sequenced (as 2x101 bp) on Illumina Hiseq platform with an average coverage of ~1800X on target region. Sequencing data analysis was performed using CLC biosciences and in house developed NGS pi</w:t>
      </w:r>
      <w:r>
        <w:rPr>
          <w:rFonts w:ascii="Times New Roman" w:hAnsi="Times New Roman"/>
          <w:sz w:val="24"/>
          <w:szCs w:val="24"/>
        </w:rPr>
        <w:t xml:space="preserve">pelines. Copy number analysis on the coding regions of genes of interest was conducted based on depth of coverage using the PatternCNV pipeline in comparison with internal reference controls (11, and manuscript in preparation). Regions with coverage lower </w:t>
      </w:r>
      <w:r>
        <w:rPr>
          <w:rFonts w:ascii="Times New Roman" w:hAnsi="Times New Roman"/>
          <w:sz w:val="24"/>
          <w:szCs w:val="24"/>
        </w:rPr>
        <w:t xml:space="preserve">than 100X were subjected to raw data manual inspection. Genetic variants identified were annotated using in house developed annotation pipeline and was interpreted according to ACMG guidelines (Supplemental Table 1). </w:t>
      </w:r>
    </w:p>
    <w:p w:rsidR="00FB6732" w:rsidRDefault="00A22C18">
      <w:pPr>
        <w:shd w:val="clear" w:color="auto" w:fill="FFFFFF"/>
        <w:spacing w:line="480" w:lineRule="auto"/>
        <w:contextualSpacing/>
        <w:textAlignment w:val="baseline"/>
        <w:rPr>
          <w:rFonts w:ascii="Arial" w:hAnsi="Arial" w:cs="Arial"/>
        </w:rPr>
      </w:pPr>
      <w:r>
        <w:rPr>
          <w:rFonts w:ascii="Times New Roman" w:hAnsi="Times New Roman"/>
          <w:b/>
          <w:bCs/>
          <w:sz w:val="24"/>
          <w:szCs w:val="24"/>
        </w:rPr>
        <w:t xml:space="preserve">WES analysis of </w:t>
      </w:r>
      <w:bookmarkStart w:id="0" w:name="_GoBack"/>
      <w:bookmarkEnd w:id="0"/>
      <w:r>
        <w:rPr>
          <w:rFonts w:ascii="Times New Roman" w:hAnsi="Times New Roman"/>
          <w:b/>
          <w:bCs/>
          <w:sz w:val="24"/>
          <w:szCs w:val="24"/>
        </w:rPr>
        <w:t xml:space="preserve">the proband of family </w:t>
      </w:r>
      <w:r>
        <w:rPr>
          <w:rFonts w:ascii="Times New Roman" w:hAnsi="Times New Roman"/>
          <w:b/>
          <w:bCs/>
          <w:sz w:val="24"/>
          <w:szCs w:val="24"/>
        </w:rPr>
        <w:t>1</w:t>
      </w:r>
      <w:r>
        <w:rPr>
          <w:rFonts w:ascii="Times New Roman" w:hAnsi="Times New Roman"/>
          <w:sz w:val="24"/>
          <w:szCs w:val="24"/>
        </w:rPr>
        <w:t xml:space="preserve"> WES </w:t>
      </w:r>
      <w:r>
        <w:rPr>
          <w:rFonts w:ascii="Times New Roman" w:hAnsi="Times New Roman" w:cs="Arial"/>
          <w:sz w:val="24"/>
          <w:szCs w:val="24"/>
        </w:rPr>
        <w:t xml:space="preserve">was performed on genomic DNA from the proband of family 1. Exome was captured using Agilent </w:t>
      </w:r>
      <w:proofErr w:type="spellStart"/>
      <w:r>
        <w:rPr>
          <w:rFonts w:ascii="Times New Roman" w:hAnsi="Times New Roman" w:cs="Arial"/>
          <w:sz w:val="24"/>
          <w:szCs w:val="24"/>
        </w:rPr>
        <w:t>SureSelect</w:t>
      </w:r>
      <w:proofErr w:type="spellEnd"/>
      <w:r>
        <w:rPr>
          <w:rFonts w:ascii="Times New Roman" w:hAnsi="Times New Roman" w:cs="Arial"/>
          <w:sz w:val="24"/>
          <w:szCs w:val="24"/>
        </w:rPr>
        <w:t xml:space="preserve"> Human All exon V5 capture reagent and sequenced on Illumina HiSeq NGS platform at the Medical Genome Facility of Mayo Clinic. Routinely, &gt;95% of th</w:t>
      </w:r>
      <w:r>
        <w:rPr>
          <w:rFonts w:ascii="Times New Roman" w:hAnsi="Times New Roman" w:cs="Arial"/>
          <w:sz w:val="24"/>
          <w:szCs w:val="24"/>
        </w:rPr>
        <w:t xml:space="preserve">e target regions were sequenced at &gt;20X. Raw sequencing data was aligned to human reference genome (hg19) using </w:t>
      </w:r>
      <w:proofErr w:type="spellStart"/>
      <w:r>
        <w:rPr>
          <w:rFonts w:ascii="Times New Roman" w:hAnsi="Times New Roman" w:cs="Arial"/>
          <w:sz w:val="24"/>
          <w:szCs w:val="24"/>
        </w:rPr>
        <w:t>Novoalign</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Novocraft</w:t>
      </w:r>
      <w:proofErr w:type="spellEnd"/>
      <w:r>
        <w:rPr>
          <w:rFonts w:ascii="Times New Roman" w:hAnsi="Times New Roman" w:cs="Arial"/>
          <w:sz w:val="24"/>
          <w:szCs w:val="24"/>
        </w:rPr>
        <w:t xml:space="preserve"> Technologies), genomic variants were jointly called using GATK Haplotype Caller and </w:t>
      </w:r>
      <w:proofErr w:type="spellStart"/>
      <w:r>
        <w:rPr>
          <w:rFonts w:ascii="Times New Roman" w:hAnsi="Times New Roman" w:cs="Arial"/>
          <w:sz w:val="24"/>
          <w:szCs w:val="24"/>
        </w:rPr>
        <w:t>GenotypeGVCF</w:t>
      </w:r>
      <w:proofErr w:type="spellEnd"/>
      <w:r>
        <w:rPr>
          <w:rFonts w:ascii="Times New Roman" w:hAnsi="Times New Roman" w:cs="Arial"/>
          <w:sz w:val="24"/>
          <w:szCs w:val="24"/>
        </w:rPr>
        <w:t xml:space="preserve"> (13) and annotated using I</w:t>
      </w:r>
      <w:r>
        <w:rPr>
          <w:rFonts w:ascii="Times New Roman" w:hAnsi="Times New Roman" w:cs="Arial"/>
          <w:sz w:val="24"/>
          <w:szCs w:val="24"/>
        </w:rPr>
        <w:t>ngenuity (</w:t>
      </w:r>
      <w:proofErr w:type="spellStart"/>
      <w:r>
        <w:rPr>
          <w:rFonts w:ascii="Times New Roman" w:hAnsi="Times New Roman" w:cs="Arial"/>
          <w:sz w:val="24"/>
          <w:szCs w:val="24"/>
        </w:rPr>
        <w:t>Qiagen</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Inc</w:t>
      </w:r>
      <w:proofErr w:type="spellEnd"/>
      <w:r>
        <w:rPr>
          <w:rFonts w:ascii="Times New Roman" w:hAnsi="Times New Roman" w:cs="Arial"/>
          <w:sz w:val="24"/>
          <w:szCs w:val="24"/>
        </w:rPr>
        <w:t>), Alamut Batch (Alamut) software. Total of ~91k variants were detected in this sample. To identify variants of interest, we adopted an exome interpretation strategy described previously (14, 12). Briefly, two population minor allele fr</w:t>
      </w:r>
      <w:r>
        <w:rPr>
          <w:rFonts w:ascii="Times New Roman" w:hAnsi="Times New Roman" w:cs="Arial"/>
          <w:sz w:val="24"/>
          <w:szCs w:val="24"/>
        </w:rPr>
        <w:t xml:space="preserve">equency filters based on ExAC, ESP, and thousand genome project, were applied as following: 1) 2.0% on variants which are reported previously in Human Gene Mutation Databases or </w:t>
      </w:r>
      <w:r>
        <w:rPr>
          <w:rFonts w:ascii="Times New Roman" w:hAnsi="Times New Roman" w:cs="Arial"/>
          <w:sz w:val="24"/>
          <w:szCs w:val="24"/>
        </w:rPr>
        <w:lastRenderedPageBreak/>
        <w:t>ClinVar, 2) 1.0% on variants not previously described in either databases. Tot</w:t>
      </w:r>
      <w:r>
        <w:rPr>
          <w:rFonts w:ascii="Times New Roman" w:hAnsi="Times New Roman" w:cs="Arial"/>
          <w:sz w:val="24"/>
          <w:szCs w:val="24"/>
        </w:rPr>
        <w:t>al of ~8400 variants passed standard quality filter and population frequency filters. Next variants in genes associated with known muscle diseases were evaluated according to ACMG guidelines based on disease inheritance pattern, frequency, functional evide</w:t>
      </w:r>
      <w:r>
        <w:rPr>
          <w:rFonts w:ascii="Times New Roman" w:hAnsi="Times New Roman" w:cs="Arial"/>
          <w:sz w:val="24"/>
          <w:szCs w:val="24"/>
        </w:rPr>
        <w:t xml:space="preserve">nce, molecular impact, and prediction score. Subsequently variants in muscle expressed genes (371 genes accessed in Dec 2015 from </w:t>
      </w:r>
      <w:hyperlink w:history="1">
        <w:r>
          <w:rPr>
            <w:rStyle w:val="Hyperlink"/>
            <w:rFonts w:ascii="Times New Roman" w:hAnsi="Times New Roman" w:cs="Arial"/>
            <w:sz w:val="24"/>
            <w:szCs w:val="24"/>
          </w:rPr>
          <w:t xml:space="preserve">www.proteinatlas.org, </w:t>
        </w:r>
      </w:hyperlink>
      <w:r>
        <w:rPr>
          <w:rFonts w:ascii="Times New Roman" w:hAnsi="Times New Roman" w:cs="Arial"/>
          <w:sz w:val="24"/>
          <w:szCs w:val="24"/>
        </w:rPr>
        <w:t>15) were examined based on their impact on gene and protein function. As these genes have not been associated with human disease or phenotype, future studies are needed to clarify the effects. PatternCNV analysis and manual data check were performed to exc</w:t>
      </w:r>
      <w:r>
        <w:rPr>
          <w:rFonts w:ascii="Times New Roman" w:hAnsi="Times New Roman" w:cs="Arial"/>
          <w:sz w:val="24"/>
          <w:szCs w:val="24"/>
        </w:rPr>
        <w:t xml:space="preserve">lude large copy number alterations only due to the limitation of WES coverage. </w:t>
      </w:r>
    </w:p>
    <w:p w:rsidR="00FB6732" w:rsidRDefault="00FB6732">
      <w:pPr>
        <w:shd w:val="clear" w:color="auto" w:fill="FFFFFF"/>
        <w:spacing w:line="480" w:lineRule="auto"/>
        <w:contextualSpacing/>
        <w:textAlignment w:val="baseline"/>
        <w:rPr>
          <w:rFonts w:ascii="Times New Roman" w:hAnsi="Times New Roman" w:cs="Arial"/>
          <w:sz w:val="24"/>
          <w:szCs w:val="24"/>
        </w:rPr>
      </w:pPr>
    </w:p>
    <w:p w:rsidR="00FB6732" w:rsidRDefault="00FB6732">
      <w:pPr>
        <w:spacing w:after="0" w:line="240" w:lineRule="auto"/>
        <w:rPr>
          <w:rFonts w:ascii="Times New Roman" w:hAnsi="Times New Roman"/>
          <w:b/>
          <w:iCs/>
          <w:sz w:val="24"/>
          <w:szCs w:val="24"/>
        </w:rPr>
      </w:pPr>
    </w:p>
    <w:p w:rsidR="00FB6732" w:rsidRDefault="00FB6732">
      <w:pPr>
        <w:shd w:val="clear" w:color="auto" w:fill="FFFFFF"/>
        <w:spacing w:line="480" w:lineRule="auto"/>
        <w:contextualSpacing/>
        <w:textAlignment w:val="baseline"/>
        <w:rPr>
          <w:rFonts w:ascii="Times New Roman" w:hAnsi="Times New Roman"/>
          <w:iCs/>
          <w:sz w:val="24"/>
          <w:szCs w:val="24"/>
        </w:rPr>
      </w:pPr>
    </w:p>
    <w:p w:rsidR="00FB6732" w:rsidRDefault="00FB6732">
      <w:pPr>
        <w:shd w:val="clear" w:color="auto" w:fill="FFFFFF"/>
        <w:spacing w:line="480" w:lineRule="auto"/>
        <w:contextualSpacing/>
        <w:textAlignment w:val="baseline"/>
        <w:rPr>
          <w:rFonts w:ascii="Times New Roman" w:hAnsi="Times New Roman"/>
          <w:iCs/>
          <w:sz w:val="24"/>
          <w:szCs w:val="24"/>
        </w:rPr>
        <w:sectPr w:rsidR="00FB6732">
          <w:footerReference w:type="even" r:id="rId8"/>
          <w:footerReference w:type="default" r:id="rId9"/>
          <w:pgSz w:w="12240" w:h="15840"/>
          <w:pgMar w:top="1440" w:right="1440" w:bottom="1440" w:left="1440" w:header="720" w:footer="720" w:gutter="0"/>
          <w:cols w:space="720"/>
          <w:docGrid w:linePitch="360"/>
        </w:sectPr>
      </w:pPr>
    </w:p>
    <w:p w:rsidR="00FB6732" w:rsidRDefault="00A22C18">
      <w:pPr>
        <w:shd w:val="clear" w:color="auto" w:fill="FFFFFF"/>
        <w:spacing w:line="480" w:lineRule="auto"/>
        <w:contextualSpacing/>
        <w:textAlignment w:val="baseline"/>
        <w:rPr>
          <w:rFonts w:ascii="Times New Roman" w:hAnsi="Times New Roman" w:cs="Arial"/>
          <w:b/>
          <w:sz w:val="24"/>
          <w:szCs w:val="24"/>
        </w:rPr>
      </w:pPr>
      <w:proofErr w:type="gramStart"/>
      <w:r w:rsidRPr="00AF2C8A">
        <w:rPr>
          <w:rFonts w:ascii="Times New Roman" w:hAnsi="Times New Roman"/>
          <w:b/>
          <w:iCs/>
          <w:sz w:val="24"/>
          <w:szCs w:val="24"/>
        </w:rPr>
        <w:lastRenderedPageBreak/>
        <w:t>Supplemental Table 1.</w:t>
      </w:r>
      <w:proofErr w:type="gramEnd"/>
      <w:r w:rsidRPr="00AF2C8A">
        <w:rPr>
          <w:rFonts w:ascii="Times New Roman" w:hAnsi="Times New Roman"/>
          <w:b/>
          <w:iCs/>
          <w:sz w:val="24"/>
          <w:szCs w:val="24"/>
        </w:rPr>
        <w:t xml:space="preserve">  Result of e</w:t>
      </w:r>
      <w:r w:rsidRPr="00AF2C8A">
        <w:rPr>
          <w:rFonts w:ascii="Times New Roman" w:hAnsi="Times New Roman" w:cs="Arial"/>
          <w:b/>
          <w:sz w:val="24"/>
          <w:szCs w:val="24"/>
        </w:rPr>
        <w:t>xpanded</w:t>
      </w:r>
      <w:r>
        <w:rPr>
          <w:rFonts w:ascii="Times New Roman" w:hAnsi="Times New Roman" w:cs="Arial"/>
          <w:b/>
          <w:sz w:val="24"/>
          <w:szCs w:val="24"/>
        </w:rPr>
        <w:t xml:space="preserve"> NGS panel testing of the proband of family 2</w:t>
      </w:r>
    </w:p>
    <w:tbl>
      <w:tblPr>
        <w:tblW w:w="12660" w:type="dxa"/>
        <w:tblInd w:w="93" w:type="dxa"/>
        <w:tblLayout w:type="fixed"/>
        <w:tblLook w:val="04A0" w:firstRow="1" w:lastRow="0" w:firstColumn="1" w:lastColumn="0" w:noHBand="0" w:noVBand="1"/>
      </w:tblPr>
      <w:tblGrid>
        <w:gridCol w:w="555"/>
        <w:gridCol w:w="1260"/>
        <w:gridCol w:w="1260"/>
        <w:gridCol w:w="1890"/>
        <w:gridCol w:w="1530"/>
        <w:gridCol w:w="1062"/>
        <w:gridCol w:w="3260"/>
        <w:gridCol w:w="1843"/>
      </w:tblGrid>
      <w:tr w:rsidR="00FB6732">
        <w:trPr>
          <w:trHeight w:val="51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Chr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transcript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Alteration</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Zygosity</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OMIM-Phenotype (inheritance)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Classification</w:t>
            </w:r>
          </w:p>
        </w:tc>
      </w:tr>
      <w:tr w:rsidR="00FB6732">
        <w:trPr>
          <w:trHeight w:val="117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179263445</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SQSTM1</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NM_003900.4</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c.1175C&gt;T</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p.Pro392Leu</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Myopathy, distal, with rimmed vacuoles (AD); Paget disease of bone 3 (AD); Frontotemporal dementia and/or amyotrophic lateral sclerosis 3 (AD); Neurodegeneration with ataxia, dystonia, and gaze palsy, childhood-onset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Pathogenic</w:t>
            </w:r>
          </w:p>
        </w:tc>
      </w:tr>
      <w:tr w:rsidR="00FB6732">
        <w:trPr>
          <w:trHeight w:val="34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70439942</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TIA1</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NM_022173.3</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c.1070A&gt;G</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p.Asn357Ser</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 xml:space="preserve">Welander distal myopathy (AD/AR) </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28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235667522</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B3GALNT2</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NM_152490.4</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c.31T&gt;G</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p.Cys11Gly</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Muscular dystrophy-</w:t>
            </w:r>
            <w:proofErr w:type="spellStart"/>
            <w:r>
              <w:rPr>
                <w:rFonts w:eastAsia="Times New Roman"/>
                <w:color w:val="000000"/>
                <w:sz w:val="16"/>
                <w:szCs w:val="16"/>
              </w:rPr>
              <w:t>dystroglycanopathy</w:t>
            </w:r>
            <w:proofErr w:type="spellEnd"/>
            <w:r>
              <w:rPr>
                <w:rFonts w:eastAsia="Times New Roman"/>
                <w:color w:val="000000"/>
                <w:sz w:val="16"/>
                <w:szCs w:val="16"/>
              </w:rPr>
              <w:t xml:space="preserve"> (congenital with brain and eye anomalies, type A, 11)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46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68707054</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IGHMBP2</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NM_002180.2</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c.2837G&gt;A</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p.Arg946Gln</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proofErr w:type="spellStart"/>
            <w:r>
              <w:rPr>
                <w:rFonts w:eastAsia="Times New Roman"/>
                <w:color w:val="000000"/>
                <w:sz w:val="16"/>
                <w:szCs w:val="16"/>
              </w:rPr>
              <w:t>Neuronopathy</w:t>
            </w:r>
            <w:proofErr w:type="spellEnd"/>
            <w:r>
              <w:rPr>
                <w:rFonts w:eastAsia="Times New Roman"/>
                <w:color w:val="000000"/>
                <w:sz w:val="16"/>
                <w:szCs w:val="16"/>
              </w:rPr>
              <w:t>, distal hereditary motor, type VI, AR;</w:t>
            </w:r>
            <w:r>
              <w:rPr>
                <w:rFonts w:eastAsia="Times New Roman"/>
                <w:color w:val="000000"/>
                <w:sz w:val="16"/>
                <w:szCs w:val="16"/>
              </w:rPr>
              <w:br/>
              <w:t>Charcot-Marie-Tooth disease, axonal, type 2S,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72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44877834</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SPG11</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NM_025137.3</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c.5121G&gt;T</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p.Glu1707Asp</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 xml:space="preserve">Spastic paraplegia 11 (AR); Charcot-Marie-Tooth </w:t>
            </w:r>
            <w:r>
              <w:rPr>
                <w:rFonts w:eastAsia="Times New Roman"/>
                <w:color w:val="000000"/>
                <w:sz w:val="16"/>
                <w:szCs w:val="16"/>
              </w:rPr>
              <w:t>disease, axonal, type 2X (AR); Amyotrophic lateral sclerosis 5, juvenile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61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40690442</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vertAlign w:val="superscript"/>
              </w:rPr>
            </w:pPr>
            <w:r>
              <w:rPr>
                <w:rFonts w:ascii="Arial" w:eastAsia="Times New Roman" w:hAnsi="Arial" w:cs="Arial"/>
                <w:i/>
                <w:color w:val="000000"/>
                <w:sz w:val="20"/>
                <w:szCs w:val="20"/>
              </w:rPr>
              <w:t>NAGLU</w:t>
            </w:r>
            <w:r>
              <w:rPr>
                <w:rFonts w:ascii="Arial" w:eastAsia="Times New Roman" w:hAnsi="Arial" w:cs="Arial"/>
                <w:i/>
                <w:color w:val="000000"/>
                <w:sz w:val="20"/>
                <w:szCs w:val="20"/>
                <w:vertAlign w:val="superscript"/>
              </w:rPr>
              <w:t>*</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NM_000263.3</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c.617A&gt;G</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p.Asn206Ser</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 xml:space="preserve">?Charcot-Marie-Tooth disease, axonal, type 2V (AD); </w:t>
            </w:r>
            <w:proofErr w:type="spellStart"/>
            <w:r>
              <w:rPr>
                <w:rFonts w:eastAsia="Times New Roman"/>
                <w:color w:val="000000"/>
                <w:sz w:val="16"/>
                <w:szCs w:val="16"/>
              </w:rPr>
              <w:t>Mucopolysaccharidosis</w:t>
            </w:r>
            <w:proofErr w:type="spellEnd"/>
            <w:r>
              <w:rPr>
                <w:rFonts w:eastAsia="Times New Roman"/>
                <w:color w:val="000000"/>
                <w:sz w:val="16"/>
                <w:szCs w:val="16"/>
              </w:rPr>
              <w:t xml:space="preserve"> type IIIB (</w:t>
            </w:r>
            <w:proofErr w:type="spellStart"/>
            <w:r>
              <w:rPr>
                <w:rFonts w:eastAsia="Times New Roman"/>
                <w:color w:val="000000"/>
                <w:sz w:val="16"/>
                <w:szCs w:val="16"/>
              </w:rPr>
              <w:t>Sanfilippo</w:t>
            </w:r>
            <w:proofErr w:type="spellEnd"/>
            <w:r>
              <w:rPr>
                <w:rFonts w:eastAsia="Times New Roman"/>
                <w:color w:val="000000"/>
                <w:sz w:val="16"/>
                <w:szCs w:val="16"/>
              </w:rPr>
              <w:t xml:space="preserve"> B)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17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40847566</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CNTNAP1</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NM_003632.2</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c.3020C&gt;G</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p.Thr1007Ser</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Lethal congenital contracture syndrome 7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12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50334047</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MED25</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NM_030973.3</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c.1004C&gt;T</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p.Ala335Val</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r>
              <w:rPr>
                <w:rFonts w:eastAsia="Times New Roman"/>
                <w:color w:val="000000"/>
                <w:sz w:val="16"/>
                <w:szCs w:val="16"/>
              </w:rPr>
              <w:t>Basel-</w:t>
            </w:r>
            <w:proofErr w:type="spellStart"/>
            <w:r>
              <w:rPr>
                <w:rFonts w:eastAsia="Times New Roman"/>
                <w:color w:val="000000"/>
                <w:sz w:val="16"/>
                <w:szCs w:val="16"/>
              </w:rPr>
              <w:t>Vanagait</w:t>
            </w:r>
            <w:proofErr w:type="spellEnd"/>
            <w:r>
              <w:rPr>
                <w:rFonts w:eastAsia="Times New Roman"/>
                <w:color w:val="000000"/>
                <w:sz w:val="16"/>
                <w:szCs w:val="16"/>
              </w:rPr>
              <w:t>-</w:t>
            </w:r>
            <w:proofErr w:type="spellStart"/>
            <w:r>
              <w:rPr>
                <w:rFonts w:eastAsia="Times New Roman"/>
                <w:color w:val="000000"/>
                <w:sz w:val="16"/>
                <w:szCs w:val="16"/>
              </w:rPr>
              <w:t>Smirin</w:t>
            </w:r>
            <w:proofErr w:type="spellEnd"/>
            <w:r>
              <w:rPr>
                <w:rFonts w:eastAsia="Times New Roman"/>
                <w:color w:val="000000"/>
                <w:sz w:val="16"/>
                <w:szCs w:val="16"/>
              </w:rPr>
              <w:t>-Yosef syndrome (AR); ?Charcot-Marie-Tooth disease, type 2B2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r w:rsidR="00FB6732">
        <w:trPr>
          <w:trHeight w:val="8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100518330</w:t>
            </w:r>
          </w:p>
        </w:tc>
        <w:tc>
          <w:tcPr>
            <w:tcW w:w="1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i/>
                <w:color w:val="000000"/>
                <w:sz w:val="20"/>
                <w:szCs w:val="20"/>
                <w:vertAlign w:val="superscript"/>
              </w:rPr>
            </w:pPr>
            <w:r>
              <w:rPr>
                <w:rFonts w:ascii="Arial" w:eastAsia="Times New Roman" w:hAnsi="Arial" w:cs="Arial"/>
                <w:i/>
                <w:color w:val="000000"/>
                <w:sz w:val="20"/>
                <w:szCs w:val="20"/>
              </w:rPr>
              <w:t>MTTP</w:t>
            </w:r>
          </w:p>
        </w:tc>
        <w:tc>
          <w:tcPr>
            <w:tcW w:w="189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NM_001300785.1</w:t>
            </w:r>
          </w:p>
        </w:tc>
        <w:tc>
          <w:tcPr>
            <w:tcW w:w="153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c.1097C&gt;A</w:t>
            </w:r>
          </w:p>
          <w:p w:rsidR="00FB6732" w:rsidRDefault="00A22C18">
            <w:pPr>
              <w:spacing w:after="0" w:line="240" w:lineRule="auto"/>
              <w:jc w:val="center"/>
              <w:rPr>
                <w:rFonts w:eastAsia="Times New Roman"/>
                <w:color w:val="000000"/>
              </w:rPr>
            </w:pPr>
            <w:r>
              <w:rPr>
                <w:rFonts w:ascii="Arial" w:eastAsia="Times New Roman" w:hAnsi="Arial" w:cs="Arial"/>
                <w:color w:val="000000"/>
                <w:sz w:val="20"/>
                <w:szCs w:val="20"/>
              </w:rPr>
              <w:t>p.Ala366Glu</w:t>
            </w:r>
          </w:p>
        </w:tc>
        <w:tc>
          <w:tcPr>
            <w:tcW w:w="1062"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het</w:t>
            </w:r>
          </w:p>
        </w:tc>
        <w:tc>
          <w:tcPr>
            <w:tcW w:w="3260"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sz w:val="16"/>
                <w:szCs w:val="16"/>
              </w:rPr>
            </w:pPr>
            <w:proofErr w:type="spellStart"/>
            <w:r>
              <w:rPr>
                <w:rFonts w:eastAsia="Times New Roman"/>
                <w:color w:val="000000"/>
                <w:sz w:val="16"/>
                <w:szCs w:val="16"/>
              </w:rPr>
              <w:t>Abetalipoproteinemia</w:t>
            </w:r>
            <w:proofErr w:type="spellEnd"/>
            <w:r>
              <w:rPr>
                <w:rFonts w:eastAsia="Times New Roman"/>
                <w:color w:val="000000"/>
                <w:sz w:val="16"/>
                <w:szCs w:val="16"/>
              </w:rPr>
              <w:t>, 200100 (AR)</w:t>
            </w:r>
          </w:p>
        </w:tc>
        <w:tc>
          <w:tcPr>
            <w:tcW w:w="1843" w:type="dxa"/>
            <w:tcBorders>
              <w:top w:val="nil"/>
              <w:left w:val="nil"/>
              <w:bottom w:val="single" w:sz="4" w:space="0" w:color="auto"/>
              <w:right w:val="single" w:sz="4" w:space="0" w:color="auto"/>
            </w:tcBorders>
            <w:shd w:val="clear" w:color="auto" w:fill="auto"/>
            <w:vAlign w:val="center"/>
            <w:hideMark/>
          </w:tcPr>
          <w:p w:rsidR="00FB6732" w:rsidRDefault="00A22C18">
            <w:pPr>
              <w:spacing w:after="0" w:line="240" w:lineRule="auto"/>
              <w:jc w:val="center"/>
              <w:rPr>
                <w:rFonts w:eastAsia="Times New Roman"/>
                <w:color w:val="000000"/>
              </w:rPr>
            </w:pPr>
            <w:r>
              <w:rPr>
                <w:rFonts w:eastAsia="Times New Roman"/>
                <w:color w:val="000000"/>
              </w:rPr>
              <w:t>VUS</w:t>
            </w:r>
          </w:p>
        </w:tc>
      </w:tr>
    </w:tbl>
    <w:p w:rsidR="00FB6732" w:rsidRDefault="00A22C18">
      <w:pPr>
        <w:shd w:val="clear" w:color="auto" w:fill="FFFFFF"/>
        <w:spacing w:line="480" w:lineRule="auto"/>
        <w:contextualSpacing/>
        <w:textAlignment w:val="baseline"/>
        <w:rPr>
          <w:rFonts w:ascii="Times New Roman" w:hAnsi="Times New Roman"/>
          <w:iCs/>
          <w:sz w:val="24"/>
          <w:szCs w:val="24"/>
        </w:rPr>
      </w:pPr>
      <w:r>
        <w:rPr>
          <w:rFonts w:ascii="Times New Roman" w:hAnsi="Times New Roman"/>
          <w:iCs/>
          <w:sz w:val="24"/>
          <w:szCs w:val="24"/>
        </w:rPr>
        <w:t>Abbreviations: AD=</w:t>
      </w:r>
      <w:r w:rsidR="00AF2C8A">
        <w:rPr>
          <w:rFonts w:ascii="Times New Roman" w:hAnsi="Times New Roman"/>
          <w:iCs/>
          <w:sz w:val="24"/>
          <w:szCs w:val="24"/>
        </w:rPr>
        <w:t xml:space="preserve"> </w:t>
      </w:r>
      <w:r>
        <w:rPr>
          <w:rFonts w:ascii="Times New Roman" w:hAnsi="Times New Roman"/>
          <w:iCs/>
          <w:sz w:val="24"/>
          <w:szCs w:val="24"/>
        </w:rPr>
        <w:t>autosomal dominant; AR=</w:t>
      </w:r>
      <w:r w:rsidR="00AF2C8A">
        <w:rPr>
          <w:rFonts w:ascii="Times New Roman" w:hAnsi="Times New Roman"/>
          <w:iCs/>
          <w:sz w:val="24"/>
          <w:szCs w:val="24"/>
        </w:rPr>
        <w:t xml:space="preserve"> </w:t>
      </w:r>
      <w:r>
        <w:rPr>
          <w:rFonts w:ascii="Times New Roman" w:hAnsi="Times New Roman"/>
          <w:iCs/>
          <w:sz w:val="24"/>
          <w:szCs w:val="24"/>
        </w:rPr>
        <w:t xml:space="preserve">autosomal recessive; </w:t>
      </w:r>
      <w:proofErr w:type="spellStart"/>
      <w:r>
        <w:rPr>
          <w:rFonts w:ascii="Times New Roman" w:hAnsi="Times New Roman"/>
          <w:iCs/>
          <w:sz w:val="24"/>
          <w:szCs w:val="24"/>
        </w:rPr>
        <w:t>Chr</w:t>
      </w:r>
      <w:proofErr w:type="spellEnd"/>
      <w:r>
        <w:rPr>
          <w:rFonts w:ascii="Times New Roman" w:hAnsi="Times New Roman"/>
          <w:iCs/>
          <w:sz w:val="24"/>
          <w:szCs w:val="24"/>
        </w:rPr>
        <w:t>=</w:t>
      </w:r>
      <w:r w:rsidR="00AF2C8A">
        <w:rPr>
          <w:rFonts w:ascii="Times New Roman" w:hAnsi="Times New Roman"/>
          <w:iCs/>
          <w:sz w:val="24"/>
          <w:szCs w:val="24"/>
        </w:rPr>
        <w:t xml:space="preserve"> </w:t>
      </w:r>
      <w:r>
        <w:rPr>
          <w:rFonts w:ascii="Times New Roman" w:hAnsi="Times New Roman"/>
          <w:iCs/>
          <w:sz w:val="24"/>
          <w:szCs w:val="24"/>
        </w:rPr>
        <w:t>chromosome number; het=</w:t>
      </w:r>
      <w:r w:rsidR="00AF2C8A">
        <w:rPr>
          <w:rFonts w:ascii="Times New Roman" w:hAnsi="Times New Roman"/>
          <w:iCs/>
          <w:sz w:val="24"/>
          <w:szCs w:val="24"/>
        </w:rPr>
        <w:t xml:space="preserve"> </w:t>
      </w:r>
      <w:r>
        <w:rPr>
          <w:rFonts w:ascii="Times New Roman" w:hAnsi="Times New Roman"/>
          <w:iCs/>
          <w:sz w:val="24"/>
          <w:szCs w:val="24"/>
        </w:rPr>
        <w:t>heterozygous; VUS=</w:t>
      </w:r>
      <w:r w:rsidR="00AF2C8A">
        <w:rPr>
          <w:rFonts w:ascii="Times New Roman" w:hAnsi="Times New Roman"/>
          <w:iCs/>
          <w:sz w:val="24"/>
          <w:szCs w:val="24"/>
        </w:rPr>
        <w:t xml:space="preserve"> </w:t>
      </w:r>
      <w:r>
        <w:rPr>
          <w:rFonts w:ascii="Times New Roman" w:hAnsi="Times New Roman"/>
          <w:iCs/>
          <w:sz w:val="24"/>
          <w:szCs w:val="24"/>
        </w:rPr>
        <w:t>variant of unknown significance</w:t>
      </w:r>
    </w:p>
    <w:p w:rsidR="00FB6732" w:rsidRDefault="00A22C18">
      <w:pPr>
        <w:shd w:val="clear" w:color="auto" w:fill="FFFFFF"/>
        <w:spacing w:line="480" w:lineRule="auto"/>
        <w:contextualSpacing/>
        <w:textAlignment w:val="baseline"/>
        <w:rPr>
          <w:rFonts w:ascii="Times New Roman" w:hAnsi="Times New Roman" w:cs="Arial"/>
          <w:sz w:val="24"/>
          <w:szCs w:val="24"/>
        </w:rPr>
      </w:pPr>
      <w:r>
        <w:rPr>
          <w:rFonts w:ascii="Times New Roman" w:hAnsi="Times New Roman"/>
          <w:iCs/>
          <w:sz w:val="24"/>
          <w:szCs w:val="24"/>
        </w:rPr>
        <w:t xml:space="preserve">* A single family with a mutation in </w:t>
      </w:r>
      <w:r>
        <w:rPr>
          <w:rFonts w:ascii="Times New Roman" w:hAnsi="Times New Roman"/>
          <w:i/>
          <w:iCs/>
          <w:sz w:val="24"/>
          <w:szCs w:val="24"/>
        </w:rPr>
        <w:t>NAGLU</w:t>
      </w:r>
      <w:r>
        <w:rPr>
          <w:rFonts w:ascii="Times New Roman" w:hAnsi="Times New Roman"/>
          <w:iCs/>
          <w:sz w:val="24"/>
          <w:szCs w:val="24"/>
        </w:rPr>
        <w:t xml:space="preserve"> has been reported with autosomal dominant disease (axonal Charcot Marie Tooth disease type 2V)</w:t>
      </w:r>
    </w:p>
    <w:sectPr w:rsidR="00FB6732">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8257" w15:done="0"/>
  <w15:commentEx w15:paraId="615D182C" w15:done="0"/>
  <w15:commentEx w15:paraId="4B75458C" w15:done="0"/>
  <w15:commentEx w15:paraId="6CF9E579" w15:done="0"/>
  <w15:commentEx w15:paraId="7958CFD1" w15:done="0"/>
  <w15:commentEx w15:paraId="5F297F5B" w15:done="0"/>
  <w15:commentEx w15:paraId="5607BEC4" w15:done="0"/>
  <w15:commentEx w15:paraId="022E56F3" w15:done="0"/>
  <w15:commentEx w15:paraId="46CA51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8FAD3" w16cid:durableId="1E138B56"/>
  <w16cid:commentId w16cid:paraId="6376FE08" w16cid:durableId="1E138B57"/>
  <w16cid:commentId w16cid:paraId="66FC67DF" w16cid:durableId="1E138B58"/>
  <w16cid:commentId w16cid:paraId="6D79D134" w16cid:durableId="1E138B59"/>
  <w16cid:commentId w16cid:paraId="755BB28C" w16cid:durableId="1E138B5A"/>
  <w16cid:commentId w16cid:paraId="59DD8C09" w16cid:durableId="1E138B5B"/>
  <w16cid:commentId w16cid:paraId="5B31E3A3" w16cid:durableId="1E138C3E"/>
  <w16cid:commentId w16cid:paraId="2DFB6A9C" w16cid:durableId="1E138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32" w:rsidRDefault="00A22C18">
      <w:r>
        <w:separator/>
      </w:r>
    </w:p>
  </w:endnote>
  <w:endnote w:type="continuationSeparator" w:id="0">
    <w:p w:rsidR="00FB6732" w:rsidRDefault="00A2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2" w:rsidRDefault="00A22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732" w:rsidRDefault="00FB6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2" w:rsidRDefault="00A22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6732" w:rsidRDefault="00FB67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32" w:rsidRDefault="00A22C18">
      <w:r>
        <w:separator/>
      </w:r>
    </w:p>
  </w:footnote>
  <w:footnote w:type="continuationSeparator" w:id="0">
    <w:p w:rsidR="00FB6732" w:rsidRDefault="00A22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307"/>
    <w:multiLevelType w:val="multilevel"/>
    <w:tmpl w:val="FC1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C092F"/>
    <w:multiLevelType w:val="hybridMultilevel"/>
    <w:tmpl w:val="5F965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495A84"/>
    <w:multiLevelType w:val="multilevel"/>
    <w:tmpl w:val="A20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E0804"/>
    <w:multiLevelType w:val="multilevel"/>
    <w:tmpl w:val="6FE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 Pfeffer">
    <w15:presenceInfo w15:providerId="AD" w15:userId="S-1-5-21-1472220659-1464698413-3788999529-369250"/>
  </w15:person>
  <w15:person w15:author="Gerry Pfeffer">
    <w15:presenceInfo w15:providerId="None" w15:userId="Gerry Pfe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32"/>
    <w:rsid w:val="000E4B7E"/>
    <w:rsid w:val="00A22C18"/>
    <w:rsid w:val="00AF2C8A"/>
    <w:rsid w:val="00FB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locke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Emphasis">
    <w:name w:val="Emphasis"/>
    <w:uiPriority w:val="99"/>
    <w:qFormat/>
    <w:rPr>
      <w:rFonts w:cs="Times New Roman"/>
      <w:i/>
      <w:i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customStyle="1" w:styleId="holder">
    <w:name w:val="holde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basedOn w:val="DefaultParagraphFont"/>
    <w:link w:val="Heading1"/>
    <w:uiPriority w:val="9"/>
    <w:rPr>
      <w:rFonts w:ascii="Times New Roman" w:eastAsia="Times New Roman" w:hAnsi="Times New Roman"/>
      <w:b/>
      <w:bCs/>
      <w:kern w:val="36"/>
      <w:sz w:val="48"/>
      <w:szCs w:val="48"/>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locke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Emphasis">
    <w:name w:val="Emphasis"/>
    <w:uiPriority w:val="99"/>
    <w:qFormat/>
    <w:rPr>
      <w:rFonts w:cs="Times New Roman"/>
      <w:i/>
      <w:i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customStyle="1" w:styleId="holder">
    <w:name w:val="holde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basedOn w:val="DefaultParagraphFont"/>
    <w:link w:val="Heading1"/>
    <w:uiPriority w:val="9"/>
    <w:rPr>
      <w:rFonts w:ascii="Times New Roman" w:eastAsia="Times New Roman" w:hAnsi="Times New Roman"/>
      <w:b/>
      <w:bCs/>
      <w:kern w:val="36"/>
      <w:sz w:val="48"/>
      <w:szCs w:val="48"/>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5432">
      <w:bodyDiv w:val="1"/>
      <w:marLeft w:val="0"/>
      <w:marRight w:val="0"/>
      <w:marTop w:val="0"/>
      <w:marBottom w:val="0"/>
      <w:divBdr>
        <w:top w:val="none" w:sz="0" w:space="0" w:color="auto"/>
        <w:left w:val="none" w:sz="0" w:space="0" w:color="auto"/>
        <w:bottom w:val="none" w:sz="0" w:space="0" w:color="auto"/>
        <w:right w:val="none" w:sz="0" w:space="0" w:color="auto"/>
      </w:divBdr>
    </w:div>
    <w:div w:id="127090639">
      <w:bodyDiv w:val="1"/>
      <w:marLeft w:val="0"/>
      <w:marRight w:val="0"/>
      <w:marTop w:val="0"/>
      <w:marBottom w:val="0"/>
      <w:divBdr>
        <w:top w:val="none" w:sz="0" w:space="0" w:color="auto"/>
        <w:left w:val="none" w:sz="0" w:space="0" w:color="auto"/>
        <w:bottom w:val="none" w:sz="0" w:space="0" w:color="auto"/>
        <w:right w:val="none" w:sz="0" w:space="0" w:color="auto"/>
      </w:divBdr>
    </w:div>
    <w:div w:id="633485862">
      <w:bodyDiv w:val="1"/>
      <w:marLeft w:val="0"/>
      <w:marRight w:val="0"/>
      <w:marTop w:val="0"/>
      <w:marBottom w:val="0"/>
      <w:divBdr>
        <w:top w:val="none" w:sz="0" w:space="0" w:color="auto"/>
        <w:left w:val="none" w:sz="0" w:space="0" w:color="auto"/>
        <w:bottom w:val="none" w:sz="0" w:space="0" w:color="auto"/>
        <w:right w:val="none" w:sz="0" w:space="0" w:color="auto"/>
      </w:divBdr>
    </w:div>
    <w:div w:id="692653753">
      <w:marLeft w:val="0"/>
      <w:marRight w:val="0"/>
      <w:marTop w:val="0"/>
      <w:marBottom w:val="0"/>
      <w:divBdr>
        <w:top w:val="none" w:sz="0" w:space="0" w:color="auto"/>
        <w:left w:val="none" w:sz="0" w:space="0" w:color="auto"/>
        <w:bottom w:val="none" w:sz="0" w:space="0" w:color="auto"/>
        <w:right w:val="none" w:sz="0" w:space="0" w:color="auto"/>
      </w:divBdr>
    </w:div>
    <w:div w:id="692653754">
      <w:marLeft w:val="0"/>
      <w:marRight w:val="0"/>
      <w:marTop w:val="0"/>
      <w:marBottom w:val="0"/>
      <w:divBdr>
        <w:top w:val="none" w:sz="0" w:space="0" w:color="auto"/>
        <w:left w:val="none" w:sz="0" w:space="0" w:color="auto"/>
        <w:bottom w:val="none" w:sz="0" w:space="0" w:color="auto"/>
        <w:right w:val="none" w:sz="0" w:space="0" w:color="auto"/>
      </w:divBdr>
    </w:div>
    <w:div w:id="692653755">
      <w:marLeft w:val="0"/>
      <w:marRight w:val="0"/>
      <w:marTop w:val="0"/>
      <w:marBottom w:val="0"/>
      <w:divBdr>
        <w:top w:val="none" w:sz="0" w:space="0" w:color="auto"/>
        <w:left w:val="none" w:sz="0" w:space="0" w:color="auto"/>
        <w:bottom w:val="none" w:sz="0" w:space="0" w:color="auto"/>
        <w:right w:val="none" w:sz="0" w:space="0" w:color="auto"/>
      </w:divBdr>
    </w:div>
    <w:div w:id="692653756">
      <w:marLeft w:val="0"/>
      <w:marRight w:val="0"/>
      <w:marTop w:val="0"/>
      <w:marBottom w:val="0"/>
      <w:divBdr>
        <w:top w:val="none" w:sz="0" w:space="0" w:color="auto"/>
        <w:left w:val="none" w:sz="0" w:space="0" w:color="auto"/>
        <w:bottom w:val="none" w:sz="0" w:space="0" w:color="auto"/>
        <w:right w:val="none" w:sz="0" w:space="0" w:color="auto"/>
      </w:divBdr>
    </w:div>
    <w:div w:id="692653757">
      <w:marLeft w:val="0"/>
      <w:marRight w:val="0"/>
      <w:marTop w:val="0"/>
      <w:marBottom w:val="0"/>
      <w:divBdr>
        <w:top w:val="none" w:sz="0" w:space="0" w:color="auto"/>
        <w:left w:val="none" w:sz="0" w:space="0" w:color="auto"/>
        <w:bottom w:val="none" w:sz="0" w:space="0" w:color="auto"/>
        <w:right w:val="none" w:sz="0" w:space="0" w:color="auto"/>
      </w:divBdr>
    </w:div>
    <w:div w:id="692653758">
      <w:marLeft w:val="0"/>
      <w:marRight w:val="0"/>
      <w:marTop w:val="0"/>
      <w:marBottom w:val="0"/>
      <w:divBdr>
        <w:top w:val="none" w:sz="0" w:space="0" w:color="auto"/>
        <w:left w:val="none" w:sz="0" w:space="0" w:color="auto"/>
        <w:bottom w:val="none" w:sz="0" w:space="0" w:color="auto"/>
        <w:right w:val="none" w:sz="0" w:space="0" w:color="auto"/>
      </w:divBdr>
    </w:div>
    <w:div w:id="692653759">
      <w:marLeft w:val="0"/>
      <w:marRight w:val="0"/>
      <w:marTop w:val="0"/>
      <w:marBottom w:val="0"/>
      <w:divBdr>
        <w:top w:val="none" w:sz="0" w:space="0" w:color="auto"/>
        <w:left w:val="none" w:sz="0" w:space="0" w:color="auto"/>
        <w:bottom w:val="none" w:sz="0" w:space="0" w:color="auto"/>
        <w:right w:val="none" w:sz="0" w:space="0" w:color="auto"/>
      </w:divBdr>
    </w:div>
    <w:div w:id="692653760">
      <w:marLeft w:val="0"/>
      <w:marRight w:val="0"/>
      <w:marTop w:val="0"/>
      <w:marBottom w:val="0"/>
      <w:divBdr>
        <w:top w:val="none" w:sz="0" w:space="0" w:color="auto"/>
        <w:left w:val="none" w:sz="0" w:space="0" w:color="auto"/>
        <w:bottom w:val="none" w:sz="0" w:space="0" w:color="auto"/>
        <w:right w:val="none" w:sz="0" w:space="0" w:color="auto"/>
      </w:divBdr>
    </w:div>
    <w:div w:id="692653761">
      <w:marLeft w:val="0"/>
      <w:marRight w:val="0"/>
      <w:marTop w:val="0"/>
      <w:marBottom w:val="0"/>
      <w:divBdr>
        <w:top w:val="none" w:sz="0" w:space="0" w:color="auto"/>
        <w:left w:val="none" w:sz="0" w:space="0" w:color="auto"/>
        <w:bottom w:val="none" w:sz="0" w:space="0" w:color="auto"/>
        <w:right w:val="none" w:sz="0" w:space="0" w:color="auto"/>
      </w:divBdr>
    </w:div>
    <w:div w:id="767382963">
      <w:bodyDiv w:val="1"/>
      <w:marLeft w:val="0"/>
      <w:marRight w:val="0"/>
      <w:marTop w:val="0"/>
      <w:marBottom w:val="0"/>
      <w:divBdr>
        <w:top w:val="none" w:sz="0" w:space="0" w:color="auto"/>
        <w:left w:val="none" w:sz="0" w:space="0" w:color="auto"/>
        <w:bottom w:val="none" w:sz="0" w:space="0" w:color="auto"/>
        <w:right w:val="none" w:sz="0" w:space="0" w:color="auto"/>
      </w:divBdr>
    </w:div>
    <w:div w:id="1052075693">
      <w:bodyDiv w:val="1"/>
      <w:marLeft w:val="0"/>
      <w:marRight w:val="0"/>
      <w:marTop w:val="0"/>
      <w:marBottom w:val="0"/>
      <w:divBdr>
        <w:top w:val="none" w:sz="0" w:space="0" w:color="auto"/>
        <w:left w:val="none" w:sz="0" w:space="0" w:color="auto"/>
        <w:bottom w:val="none" w:sz="0" w:space="0" w:color="auto"/>
        <w:right w:val="none" w:sz="0" w:space="0" w:color="auto"/>
      </w:divBdr>
    </w:div>
    <w:div w:id="1126654566">
      <w:bodyDiv w:val="1"/>
      <w:marLeft w:val="0"/>
      <w:marRight w:val="0"/>
      <w:marTop w:val="0"/>
      <w:marBottom w:val="0"/>
      <w:divBdr>
        <w:top w:val="none" w:sz="0" w:space="0" w:color="auto"/>
        <w:left w:val="none" w:sz="0" w:space="0" w:color="auto"/>
        <w:bottom w:val="none" w:sz="0" w:space="0" w:color="auto"/>
        <w:right w:val="none" w:sz="0" w:space="0" w:color="auto"/>
      </w:divBdr>
    </w:div>
    <w:div w:id="1768186566">
      <w:bodyDiv w:val="1"/>
      <w:marLeft w:val="0"/>
      <w:marRight w:val="0"/>
      <w:marTop w:val="0"/>
      <w:marBottom w:val="0"/>
      <w:divBdr>
        <w:top w:val="none" w:sz="0" w:space="0" w:color="auto"/>
        <w:left w:val="none" w:sz="0" w:space="0" w:color="auto"/>
        <w:bottom w:val="none" w:sz="0" w:space="0" w:color="auto"/>
        <w:right w:val="none" w:sz="0" w:space="0" w:color="auto"/>
      </w:divBdr>
    </w:div>
    <w:div w:id="20807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Genomic analysis</vt:lpstr>
    </vt:vector>
  </TitlesOfParts>
  <Company>Mayo Clinic</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 analysis</dc:title>
  <dc:creator>Neal  Niu</dc:creator>
  <cp:lastModifiedBy>Margherita  Milone</cp:lastModifiedBy>
  <cp:revision>2</cp:revision>
  <dcterms:created xsi:type="dcterms:W3CDTF">2018-02-02T02:45:00Z</dcterms:created>
  <dcterms:modified xsi:type="dcterms:W3CDTF">2018-02-02T02:45:00Z</dcterms:modified>
</cp:coreProperties>
</file>