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B277D" w14:textId="77777777" w:rsidR="00654E8F" w:rsidRPr="001549D3" w:rsidRDefault="00654E8F" w:rsidP="0001436A">
      <w:pPr>
        <w:pStyle w:val="SupplementaryMaterial"/>
        <w:rPr>
          <w:b w:val="0"/>
        </w:rPr>
      </w:pPr>
      <w:r w:rsidRPr="001549D3">
        <w:t>Supplementary Material</w:t>
      </w:r>
      <w:r w:rsidR="000748F3">
        <w:t>s</w:t>
      </w:r>
    </w:p>
    <w:p w14:paraId="0F169C96" w14:textId="5591F3DF" w:rsidR="00236598" w:rsidRPr="00236598" w:rsidRDefault="001E14E2" w:rsidP="00236598">
      <w:pPr>
        <w:suppressLineNumbers/>
        <w:spacing w:before="240" w:after="360"/>
        <w:jc w:val="center"/>
        <w:rPr>
          <w:rFonts w:cs="Times New Roman"/>
          <w:b/>
          <w:sz w:val="32"/>
          <w:szCs w:val="32"/>
        </w:rPr>
      </w:pPr>
      <w:bookmarkStart w:id="0" w:name="_GoBack"/>
      <w:bookmarkEnd w:id="0"/>
      <w:r w:rsidRPr="001E14E2">
        <w:rPr>
          <w:rFonts w:cs="Times New Roman"/>
          <w:b/>
          <w:sz w:val="32"/>
          <w:szCs w:val="32"/>
        </w:rPr>
        <w:t>Monetary Reward and Punishment to Response Inhibition Modulate Activation and Synchronization within the Inhibitory Brain Network</w:t>
      </w:r>
    </w:p>
    <w:p w14:paraId="7181E67A" w14:textId="06FC8BFB" w:rsidR="002868E2" w:rsidRPr="00994A3D" w:rsidRDefault="00854387" w:rsidP="0001436A">
      <w:pPr>
        <w:pStyle w:val="AuthorList"/>
      </w:pPr>
      <w:r>
        <w:t xml:space="preserve">Rupesh Kumar </w:t>
      </w:r>
      <w:proofErr w:type="spellStart"/>
      <w:r>
        <w:t>Chikara</w:t>
      </w:r>
      <w:proofErr w:type="spellEnd"/>
      <w:r w:rsidRPr="00854387">
        <w:rPr>
          <w:vertAlign w:val="superscript"/>
        </w:rPr>
        <w:t>†</w:t>
      </w:r>
      <w:r>
        <w:t>, Erik C. Chang</w:t>
      </w:r>
      <w:r w:rsidRPr="00854387">
        <w:rPr>
          <w:vertAlign w:val="superscript"/>
        </w:rPr>
        <w:t>†</w:t>
      </w:r>
      <w:r>
        <w:t>, Yi-Chen Lu, Dar-</w:t>
      </w:r>
      <w:proofErr w:type="spellStart"/>
      <w:r>
        <w:t>Shong</w:t>
      </w:r>
      <w:proofErr w:type="spellEnd"/>
      <w:r>
        <w:t xml:space="preserve"> Lin, Li-Wei </w:t>
      </w:r>
      <w:proofErr w:type="spellStart"/>
      <w:proofErr w:type="gramStart"/>
      <w:r>
        <w:t>Ko</w:t>
      </w:r>
      <w:proofErr w:type="spellEnd"/>
      <w:proofErr w:type="gramEnd"/>
      <w:r w:rsidRPr="00854387">
        <w:rPr>
          <w:vertAlign w:val="superscript"/>
        </w:rPr>
        <w:t>*</w:t>
      </w:r>
    </w:p>
    <w:p w14:paraId="1F73DB2C" w14:textId="4D11380E" w:rsidR="00994A3D" w:rsidRDefault="002868E2" w:rsidP="002E3E4D">
      <w:pPr>
        <w:spacing w:before="240" w:after="0"/>
        <w:rPr>
          <w:rFonts w:cs="Times New Roman"/>
        </w:rPr>
      </w:pPr>
      <w:r w:rsidRPr="00994A3D">
        <w:rPr>
          <w:rFonts w:cs="Times New Roman"/>
          <w:b/>
        </w:rPr>
        <w:t xml:space="preserve">* Correspondence: </w:t>
      </w:r>
      <w:r w:rsidR="00484109" w:rsidRPr="00484109">
        <w:rPr>
          <w:rFonts w:cs="Times New Roman"/>
        </w:rPr>
        <w:t xml:space="preserve">Li-Wei </w:t>
      </w:r>
      <w:proofErr w:type="spellStart"/>
      <w:proofErr w:type="gramStart"/>
      <w:r w:rsidR="00484109" w:rsidRPr="00484109">
        <w:rPr>
          <w:rFonts w:cs="Times New Roman"/>
        </w:rPr>
        <w:t>Ko</w:t>
      </w:r>
      <w:proofErr w:type="spellEnd"/>
      <w:proofErr w:type="gramEnd"/>
      <w:r w:rsidR="00484109" w:rsidRPr="00484109">
        <w:rPr>
          <w:rFonts w:cs="Times New Roman"/>
        </w:rPr>
        <w:t xml:space="preserve"> </w:t>
      </w:r>
      <w:r w:rsidR="00484109" w:rsidRPr="000A7D19">
        <w:rPr>
          <w:rFonts w:cs="Times New Roman"/>
        </w:rPr>
        <w:t>(</w:t>
      </w:r>
      <w:hyperlink r:id="rId8" w:history="1">
        <w:r w:rsidR="002E3E4D" w:rsidRPr="000A7D19">
          <w:rPr>
            <w:rStyle w:val="Hyperlink"/>
            <w:rFonts w:cs="Times New Roman"/>
            <w:color w:val="auto"/>
            <w:u w:val="none"/>
          </w:rPr>
          <w:t>lwko@mail.nctu.edu.tw</w:t>
        </w:r>
      </w:hyperlink>
      <w:r w:rsidR="00484109" w:rsidRPr="000A7D19">
        <w:rPr>
          <w:rFonts w:cs="Times New Roman"/>
        </w:rPr>
        <w:t>)</w:t>
      </w:r>
      <w:r w:rsidR="000A7D19" w:rsidRPr="000A7D19">
        <w:t xml:space="preserve"> </w:t>
      </w:r>
    </w:p>
    <w:p w14:paraId="2AD6EEA9" w14:textId="0C7F969B" w:rsidR="00BD5B59" w:rsidRDefault="00631AF4" w:rsidP="00BD5B59">
      <w:pPr>
        <w:jc w:val="both"/>
        <w:rPr>
          <w:rFonts w:eastAsia="Times New Roman" w:cs="Times New Roman"/>
          <w:szCs w:val="24"/>
          <w:lang w:val="en-GB" w:eastAsia="en-GB"/>
        </w:rPr>
      </w:pPr>
      <w:r w:rsidRPr="00631AF4">
        <w:rPr>
          <w:rFonts w:eastAsia="Times New Roman" w:cs="Times New Roman"/>
          <w:szCs w:val="24"/>
          <w:vertAlign w:val="superscript"/>
          <w:lang w:val="en-GB" w:eastAsia="en-GB"/>
        </w:rPr>
        <w:t>†</w:t>
      </w:r>
      <w:r w:rsidRPr="00631AF4">
        <w:rPr>
          <w:rFonts w:eastAsia="Times New Roman" w:cs="Times New Roman"/>
          <w:szCs w:val="24"/>
          <w:lang w:val="en-GB" w:eastAsia="en-GB"/>
        </w:rPr>
        <w:t xml:space="preserve"> Equal contributions</w:t>
      </w:r>
    </w:p>
    <w:p w14:paraId="3132707C" w14:textId="77777777" w:rsidR="000D25C4" w:rsidRDefault="000D25C4" w:rsidP="006D5C4F">
      <w:pPr>
        <w:jc w:val="both"/>
        <w:rPr>
          <w:rFonts w:eastAsia="Times New Roman" w:cs="Times New Roman"/>
          <w:b/>
          <w:i/>
          <w:szCs w:val="24"/>
          <w:lang w:eastAsia="en-GB"/>
        </w:rPr>
      </w:pPr>
    </w:p>
    <w:p w14:paraId="765003B8" w14:textId="5E4201A0" w:rsidR="006D5C4F" w:rsidRPr="006D5C4F" w:rsidRDefault="00BA7993" w:rsidP="006D5C4F">
      <w:pPr>
        <w:jc w:val="both"/>
        <w:rPr>
          <w:rFonts w:eastAsia="Times New Roman" w:cs="Times New Roman"/>
          <w:b/>
          <w:i/>
          <w:szCs w:val="24"/>
          <w:lang w:eastAsia="en-GB"/>
        </w:rPr>
      </w:pPr>
      <w:r w:rsidRPr="00BA7993">
        <w:rPr>
          <w:rFonts w:eastAsia="Times New Roman" w:cs="Times New Roman"/>
          <w:b/>
          <w:i/>
          <w:szCs w:val="24"/>
          <w:lang w:eastAsia="en-GB"/>
        </w:rPr>
        <w:t>Contrasting inhibitory control among feedback conditions</w:t>
      </w:r>
    </w:p>
    <w:p w14:paraId="128046FB" w14:textId="77777777" w:rsidR="006D5C4F" w:rsidRDefault="006D5C4F" w:rsidP="006D5C4F">
      <w:pPr>
        <w:jc w:val="both"/>
        <w:rPr>
          <w:rFonts w:eastAsia="Times New Roman" w:cs="Times New Roman"/>
          <w:szCs w:val="24"/>
          <w:lang w:eastAsia="en-GB"/>
        </w:rPr>
      </w:pPr>
      <w:r w:rsidRPr="006D5C4F">
        <w:rPr>
          <w:rFonts w:eastAsia="Times New Roman" w:cs="Times New Roman"/>
          <w:szCs w:val="24"/>
          <w:lang w:eastAsia="en-GB"/>
        </w:rPr>
        <w:t xml:space="preserve">In the “Reward-Punishment” contrast, the left lingual gyrus, left </w:t>
      </w:r>
      <w:proofErr w:type="spellStart"/>
      <w:r w:rsidRPr="006D5C4F">
        <w:rPr>
          <w:rFonts w:eastAsia="Times New Roman" w:cs="Times New Roman"/>
          <w:szCs w:val="24"/>
          <w:lang w:eastAsia="en-GB"/>
        </w:rPr>
        <w:t>precuneus</w:t>
      </w:r>
      <w:proofErr w:type="spellEnd"/>
      <w:r w:rsidRPr="006D5C4F">
        <w:rPr>
          <w:rFonts w:eastAsia="Times New Roman" w:cs="Times New Roman"/>
          <w:szCs w:val="24"/>
          <w:lang w:eastAsia="en-GB"/>
        </w:rPr>
        <w:t xml:space="preserve"> gyrus, left inferior temporal lobe, left angular gyrus, right inferior parietal lobe, right superior right parietal lobe, and right middle temporal gyrus were stimulated in this contrast (Table 4B, Figures 6 and 7 middle panel). Moreover, in the “Punishment – Reward” contrast revealed significantly higher activation merely in left precentral gyrus, as displayed in (Table 4C, Figures 6 and 7 middle panels).</w:t>
      </w:r>
    </w:p>
    <w:p w14:paraId="319EEC01" w14:textId="5E2FC494" w:rsidR="006D5C4F" w:rsidRPr="006D5C4F" w:rsidRDefault="006D5C4F" w:rsidP="006D5C4F">
      <w:pPr>
        <w:ind w:firstLine="288"/>
        <w:jc w:val="both"/>
        <w:rPr>
          <w:rFonts w:eastAsia="Times New Roman" w:cs="Times New Roman"/>
          <w:szCs w:val="24"/>
          <w:lang w:eastAsia="en-GB"/>
        </w:rPr>
      </w:pPr>
      <w:r w:rsidRPr="006D5C4F">
        <w:rPr>
          <w:rFonts w:eastAsia="Times New Roman" w:cs="Times New Roman"/>
          <w:szCs w:val="24"/>
          <w:lang w:eastAsia="en-GB"/>
        </w:rPr>
        <w:t>Activated angular gyrus was found in (Reward – Punishment) contrast, which has been associated with visual attention and awareness. In addition, the angular gyrus might be involved in reorienting or shifting attention. For example, when the attention system is transformed to specific stimuli that have high salience in terms of movement, emotion. (</w:t>
      </w:r>
      <w:proofErr w:type="spellStart"/>
      <w:r w:rsidRPr="006D5C4F">
        <w:rPr>
          <w:rFonts w:eastAsia="Times New Roman" w:cs="Times New Roman"/>
          <w:szCs w:val="24"/>
          <w:lang w:eastAsia="en-GB"/>
        </w:rPr>
        <w:t>Seghier</w:t>
      </w:r>
      <w:proofErr w:type="spellEnd"/>
      <w:r w:rsidRPr="006D5C4F">
        <w:rPr>
          <w:rFonts w:eastAsia="Times New Roman" w:cs="Times New Roman"/>
          <w:szCs w:val="24"/>
          <w:lang w:eastAsia="en-GB"/>
        </w:rPr>
        <w:t>, M. L. 2013). Accordingly, angular gyrus showed significant brain activation in attention and emotion.</w:t>
      </w:r>
    </w:p>
    <w:p w14:paraId="22131802" w14:textId="6B3B995F" w:rsidR="006D5C4F" w:rsidRPr="006D5C4F" w:rsidRDefault="006D5C4F" w:rsidP="00BD5B59">
      <w:pPr>
        <w:jc w:val="both"/>
        <w:rPr>
          <w:rFonts w:eastAsia="Times New Roman" w:cs="Times New Roman"/>
          <w:b/>
          <w:i/>
          <w:szCs w:val="24"/>
          <w:lang w:val="en-GB" w:eastAsia="en-GB"/>
        </w:rPr>
      </w:pPr>
      <w:r w:rsidRPr="006D5C4F">
        <w:rPr>
          <w:rFonts w:eastAsia="Times New Roman" w:cs="Times New Roman"/>
          <w:b/>
          <w:i/>
          <w:szCs w:val="24"/>
          <w:lang w:val="en-GB" w:eastAsia="en-GB"/>
        </w:rPr>
        <w:t>EEG Results of Response Inhibition</w:t>
      </w:r>
    </w:p>
    <w:p w14:paraId="6DCF697A" w14:textId="77777777" w:rsidR="00AE0B66" w:rsidRDefault="000748F3" w:rsidP="00BD5B59">
      <w:pPr>
        <w:jc w:val="both"/>
        <w:rPr>
          <w:rFonts w:eastAsia="Times New Roman" w:cs="Times New Roman"/>
          <w:szCs w:val="24"/>
          <w:lang w:val="en-GB" w:eastAsia="en-GB"/>
        </w:rPr>
      </w:pPr>
      <w:r w:rsidRPr="000748F3">
        <w:rPr>
          <w:rFonts w:eastAsia="Times New Roman" w:cs="Times New Roman"/>
          <w:szCs w:val="24"/>
          <w:lang w:val="en-GB" w:eastAsia="en-GB"/>
        </w:rPr>
        <w:t xml:space="preserve">Supplementary Figure 2 displays weak synchronization of the </w:t>
      </w:r>
      <w:r w:rsidRPr="000748F3">
        <w:rPr>
          <w:rFonts w:eastAsia="Times New Roman" w:cs="Times New Roman"/>
          <w:noProof/>
          <w:szCs w:val="24"/>
          <w:lang w:val="en-GB" w:eastAsia="en-GB"/>
        </w:rPr>
        <w:t>delta</w:t>
      </w:r>
      <w:r w:rsidRPr="000748F3">
        <w:rPr>
          <w:rFonts w:eastAsia="Times New Roman" w:cs="Times New Roman"/>
          <w:szCs w:val="24"/>
          <w:lang w:val="en-GB" w:eastAsia="en-GB"/>
        </w:rPr>
        <w:t xml:space="preserve">, theta-alpha bands were detected during reward than in the no-feedback and punishment conditions under successful stop (SS) condition in right MFG. Moreover, </w:t>
      </w:r>
      <w:r w:rsidRPr="000748F3">
        <w:rPr>
          <w:rFonts w:eastAsia="Times New Roman" w:cs="Times New Roman"/>
          <w:noProof/>
          <w:szCs w:val="24"/>
          <w:lang w:val="en-GB" w:eastAsia="en-GB"/>
        </w:rPr>
        <w:t>high</w:t>
      </w:r>
      <w:r w:rsidRPr="000748F3">
        <w:rPr>
          <w:rFonts w:eastAsia="Times New Roman" w:cs="Times New Roman"/>
          <w:szCs w:val="24"/>
          <w:lang w:val="en-GB" w:eastAsia="en-GB"/>
        </w:rPr>
        <w:t xml:space="preserve"> synchronization of delta, theta-alpha and beta activities were found in the reward than in the no-feedback and punishment conditions during </w:t>
      </w:r>
      <w:r w:rsidRPr="000748F3">
        <w:rPr>
          <w:rFonts w:eastAsia="Times New Roman" w:cs="Times New Roman"/>
          <w:noProof/>
          <w:szCs w:val="24"/>
          <w:lang w:val="en-GB" w:eastAsia="en-GB"/>
        </w:rPr>
        <w:t>successful</w:t>
      </w:r>
      <w:r w:rsidRPr="000748F3">
        <w:rPr>
          <w:rFonts w:eastAsia="Times New Roman" w:cs="Times New Roman"/>
          <w:szCs w:val="24"/>
          <w:lang w:val="en-GB" w:eastAsia="en-GB"/>
        </w:rPr>
        <w:t xml:space="preserve"> go (SG) </w:t>
      </w:r>
      <w:r w:rsidRPr="000748F3">
        <w:rPr>
          <w:rFonts w:eastAsia="Times New Roman" w:cs="Times New Roman"/>
          <w:noProof/>
          <w:szCs w:val="24"/>
          <w:lang w:val="en-GB" w:eastAsia="en-GB"/>
        </w:rPr>
        <w:t>condition</w:t>
      </w:r>
      <w:r w:rsidRPr="000748F3">
        <w:rPr>
          <w:rFonts w:eastAsia="Times New Roman" w:cs="Times New Roman"/>
          <w:szCs w:val="24"/>
          <w:lang w:val="en-GB" w:eastAsia="en-GB"/>
        </w:rPr>
        <w:t xml:space="preserve"> </w:t>
      </w:r>
      <w:r w:rsidRPr="000748F3">
        <w:rPr>
          <w:rFonts w:eastAsia="Times New Roman" w:cs="Times New Roman"/>
          <w:noProof/>
          <w:szCs w:val="24"/>
          <w:lang w:val="en-GB" w:eastAsia="en-GB"/>
        </w:rPr>
        <w:t>in the right</w:t>
      </w:r>
      <w:r w:rsidRPr="000748F3">
        <w:rPr>
          <w:rFonts w:eastAsia="Times New Roman" w:cs="Times New Roman"/>
          <w:szCs w:val="24"/>
          <w:lang w:val="en-GB" w:eastAsia="en-GB"/>
        </w:rPr>
        <w:t xml:space="preserve"> MFG. Furthermore, desynchronization of the </w:t>
      </w:r>
      <w:r w:rsidRPr="000748F3">
        <w:rPr>
          <w:rFonts w:eastAsia="Times New Roman" w:cs="Times New Roman"/>
          <w:noProof/>
          <w:szCs w:val="24"/>
          <w:lang w:val="en-GB" w:eastAsia="en-GB"/>
        </w:rPr>
        <w:t>delta</w:t>
      </w:r>
      <w:r w:rsidRPr="000748F3">
        <w:rPr>
          <w:rFonts w:eastAsia="Times New Roman" w:cs="Times New Roman"/>
          <w:szCs w:val="24"/>
          <w:lang w:val="en-GB" w:eastAsia="en-GB"/>
        </w:rPr>
        <w:t xml:space="preserve">, theta, alpha and beta activities were investigated in reward than in the no-feedback and punishment conditions during (SS-SG) contrast </w:t>
      </w:r>
      <w:r w:rsidRPr="000748F3">
        <w:rPr>
          <w:rFonts w:eastAsia="Times New Roman" w:cs="Times New Roman"/>
          <w:noProof/>
          <w:szCs w:val="24"/>
          <w:lang w:val="en-GB" w:eastAsia="en-GB"/>
        </w:rPr>
        <w:t>in the right</w:t>
      </w:r>
      <w:r w:rsidRPr="000748F3">
        <w:rPr>
          <w:rFonts w:eastAsia="Times New Roman" w:cs="Times New Roman"/>
          <w:szCs w:val="24"/>
          <w:lang w:val="en-GB" w:eastAsia="en-GB"/>
        </w:rPr>
        <w:t xml:space="preserve"> MFG. However, </w:t>
      </w:r>
      <w:proofErr w:type="spellStart"/>
      <w:r w:rsidRPr="000748F3">
        <w:rPr>
          <w:rFonts w:eastAsia="Times New Roman" w:cs="Times New Roman"/>
          <w:szCs w:val="24"/>
          <w:lang w:val="en-GB" w:eastAsia="en-GB"/>
        </w:rPr>
        <w:t>rMFG</w:t>
      </w:r>
      <w:proofErr w:type="spellEnd"/>
      <w:r w:rsidRPr="000748F3">
        <w:rPr>
          <w:rFonts w:eastAsia="Times New Roman" w:cs="Times New Roman"/>
          <w:szCs w:val="24"/>
          <w:lang w:val="en-GB" w:eastAsia="en-GB"/>
        </w:rPr>
        <w:t xml:space="preserve"> activation </w:t>
      </w:r>
      <w:r w:rsidRPr="000748F3">
        <w:rPr>
          <w:rFonts w:eastAsia="Times New Roman" w:cs="Times New Roman"/>
          <w:noProof/>
          <w:szCs w:val="24"/>
          <w:lang w:val="en-GB" w:eastAsia="en-GB"/>
        </w:rPr>
        <w:t>was focused</w:t>
      </w:r>
      <w:r w:rsidRPr="000748F3">
        <w:rPr>
          <w:rFonts w:eastAsia="Times New Roman" w:cs="Times New Roman"/>
          <w:szCs w:val="24"/>
          <w:lang w:val="en-GB" w:eastAsia="en-GB"/>
        </w:rPr>
        <w:t xml:space="preserve"> during the time in which constant attention and response inhibition was assumed to be occurring. Therefore, the </w:t>
      </w:r>
      <w:r w:rsidRPr="000748F3">
        <w:rPr>
          <w:rFonts w:eastAsia="Times New Roman" w:cs="Times New Roman"/>
          <w:noProof/>
          <w:szCs w:val="24"/>
          <w:lang w:val="en-GB" w:eastAsia="en-GB"/>
        </w:rPr>
        <w:t>rMFG</w:t>
      </w:r>
      <w:r w:rsidRPr="000748F3">
        <w:rPr>
          <w:rFonts w:eastAsia="Times New Roman" w:cs="Times New Roman"/>
          <w:szCs w:val="24"/>
          <w:lang w:val="en-GB" w:eastAsia="en-GB"/>
        </w:rPr>
        <w:t xml:space="preserve"> area of the brain is measured as directly associated </w:t>
      </w:r>
      <w:r w:rsidRPr="000748F3">
        <w:rPr>
          <w:rFonts w:eastAsia="Times New Roman" w:cs="Times New Roman"/>
          <w:noProof/>
          <w:szCs w:val="24"/>
          <w:lang w:val="en-GB" w:eastAsia="en-GB"/>
        </w:rPr>
        <w:t>with</w:t>
      </w:r>
      <w:r w:rsidRPr="000748F3">
        <w:rPr>
          <w:rFonts w:eastAsia="Times New Roman" w:cs="Times New Roman"/>
          <w:szCs w:val="24"/>
          <w:lang w:val="en-GB" w:eastAsia="en-GB"/>
        </w:rPr>
        <w:t xml:space="preserve"> response inhibition. </w:t>
      </w:r>
    </w:p>
    <w:p w14:paraId="3AABDC69" w14:textId="490E6CB3" w:rsidR="000748F3" w:rsidRDefault="000748F3" w:rsidP="00AE0B66">
      <w:pPr>
        <w:ind w:firstLine="288"/>
        <w:jc w:val="both"/>
        <w:rPr>
          <w:rFonts w:eastAsia="Times New Roman" w:cs="Times New Roman"/>
          <w:szCs w:val="24"/>
          <w:lang w:val="en-GB" w:eastAsia="en-GB"/>
        </w:rPr>
      </w:pPr>
      <w:r w:rsidRPr="000748F3">
        <w:rPr>
          <w:rFonts w:eastAsia="Times New Roman" w:cs="Times New Roman"/>
          <w:szCs w:val="24"/>
          <w:lang w:val="en-GB" w:eastAsia="en-GB"/>
        </w:rPr>
        <w:t xml:space="preserve">Supplementary Figure 3 displays the synchronization of theta and alpha band powers in reward compared to no-feedback and punishment conditions under SS and SG conditions in left MOG. Additionally, </w:t>
      </w:r>
      <w:r w:rsidRPr="000748F3">
        <w:rPr>
          <w:rFonts w:eastAsia="Times New Roman" w:cs="Times New Roman"/>
          <w:noProof/>
          <w:szCs w:val="24"/>
          <w:lang w:val="en-GB" w:eastAsia="en-GB"/>
        </w:rPr>
        <w:t>synchronization</w:t>
      </w:r>
      <w:r w:rsidRPr="000748F3">
        <w:rPr>
          <w:rFonts w:eastAsia="Times New Roman" w:cs="Times New Roman"/>
          <w:szCs w:val="24"/>
          <w:lang w:val="en-GB" w:eastAsia="en-GB"/>
        </w:rPr>
        <w:t xml:space="preserve"> of theta-alpha bands </w:t>
      </w:r>
      <w:r w:rsidRPr="000748F3">
        <w:rPr>
          <w:rFonts w:eastAsia="Times New Roman" w:cs="Times New Roman"/>
          <w:noProof/>
          <w:szCs w:val="24"/>
          <w:lang w:val="en-GB" w:eastAsia="en-GB"/>
        </w:rPr>
        <w:t>was identified</w:t>
      </w:r>
      <w:r w:rsidRPr="000748F3">
        <w:rPr>
          <w:rFonts w:eastAsia="Times New Roman" w:cs="Times New Roman"/>
          <w:szCs w:val="24"/>
          <w:lang w:val="en-GB" w:eastAsia="en-GB"/>
        </w:rPr>
        <w:t xml:space="preserve"> during reward than in the no-feedback and punishment conditions under (SS-SG) contrast in left MOG. Supplementary Figure 4 presents the synchronization of alpha band power in reward and punishment compared to the </w:t>
      </w:r>
      <w:r w:rsidRPr="000748F3">
        <w:rPr>
          <w:rFonts w:eastAsia="Times New Roman" w:cs="Times New Roman"/>
          <w:noProof/>
          <w:szCs w:val="24"/>
          <w:lang w:val="en-GB" w:eastAsia="en-GB"/>
        </w:rPr>
        <w:t>no-feedback</w:t>
      </w:r>
      <w:r w:rsidRPr="000748F3">
        <w:rPr>
          <w:rFonts w:eastAsia="Times New Roman" w:cs="Times New Roman"/>
          <w:szCs w:val="24"/>
          <w:lang w:val="en-GB" w:eastAsia="en-GB"/>
        </w:rPr>
        <w:t xml:space="preserve"> condition under SS and SG conditions in right MOG. Moreover, synchronization of alpha activities </w:t>
      </w:r>
      <w:r w:rsidRPr="000748F3">
        <w:rPr>
          <w:rFonts w:eastAsia="Times New Roman" w:cs="Times New Roman"/>
          <w:noProof/>
          <w:szCs w:val="24"/>
          <w:lang w:val="en-GB" w:eastAsia="en-GB"/>
        </w:rPr>
        <w:t>was</w:t>
      </w:r>
      <w:r w:rsidRPr="000748F3">
        <w:rPr>
          <w:rFonts w:eastAsia="Times New Roman" w:cs="Times New Roman"/>
          <w:szCs w:val="24"/>
          <w:lang w:val="en-GB" w:eastAsia="en-GB"/>
        </w:rPr>
        <w:t xml:space="preserve"> investigated in reward and punishment conditions then no-feedback condition during </w:t>
      </w:r>
      <w:r w:rsidRPr="000748F3">
        <w:rPr>
          <w:rFonts w:eastAsia="Times New Roman" w:cs="Times New Roman"/>
          <w:szCs w:val="24"/>
          <w:lang w:val="en-GB" w:eastAsia="en-GB"/>
        </w:rPr>
        <w:lastRenderedPageBreak/>
        <w:t xml:space="preserve">(SS-SG) contrast in right MOG. Left and right-MOGs were measured merely associated </w:t>
      </w:r>
      <w:r w:rsidRPr="000748F3">
        <w:rPr>
          <w:rFonts w:eastAsia="Times New Roman" w:cs="Times New Roman"/>
          <w:noProof/>
          <w:szCs w:val="24"/>
          <w:lang w:val="en-GB" w:eastAsia="en-GB"/>
        </w:rPr>
        <w:t>with a</w:t>
      </w:r>
      <w:r w:rsidRPr="000748F3">
        <w:rPr>
          <w:rFonts w:eastAsia="Times New Roman" w:cs="Times New Roman"/>
          <w:szCs w:val="24"/>
          <w:lang w:val="en-GB" w:eastAsia="en-GB"/>
        </w:rPr>
        <w:t xml:space="preserve"> </w:t>
      </w:r>
      <w:r w:rsidRPr="000748F3">
        <w:rPr>
          <w:rFonts w:eastAsia="Times New Roman" w:cs="Times New Roman"/>
          <w:noProof/>
          <w:szCs w:val="24"/>
          <w:lang w:val="en-GB" w:eastAsia="en-GB"/>
        </w:rPr>
        <w:t>visual</w:t>
      </w:r>
      <w:r w:rsidRPr="000748F3">
        <w:rPr>
          <w:rFonts w:eastAsia="Times New Roman" w:cs="Times New Roman"/>
          <w:szCs w:val="24"/>
          <w:lang w:val="en-GB" w:eastAsia="en-GB"/>
        </w:rPr>
        <w:t xml:space="preserve"> stimulus which </w:t>
      </w:r>
      <w:r w:rsidRPr="000748F3">
        <w:rPr>
          <w:rFonts w:eastAsia="Times New Roman" w:cs="Times New Roman"/>
          <w:noProof/>
          <w:szCs w:val="24"/>
          <w:lang w:val="en-GB" w:eastAsia="en-GB"/>
        </w:rPr>
        <w:t>was</w:t>
      </w:r>
      <w:r w:rsidRPr="000748F3">
        <w:rPr>
          <w:rFonts w:eastAsia="Times New Roman" w:cs="Times New Roman"/>
          <w:szCs w:val="24"/>
          <w:lang w:val="en-GB" w:eastAsia="en-GB"/>
        </w:rPr>
        <w:t xml:space="preserve"> comparatively slight to the task of stop-signal. Their ERSP power </w:t>
      </w:r>
      <w:r w:rsidRPr="000748F3">
        <w:rPr>
          <w:rFonts w:eastAsia="Times New Roman" w:cs="Times New Roman"/>
          <w:noProof/>
          <w:szCs w:val="24"/>
          <w:lang w:val="en-GB" w:eastAsia="en-GB"/>
        </w:rPr>
        <w:t>was investigated</w:t>
      </w:r>
      <w:r w:rsidRPr="000748F3">
        <w:rPr>
          <w:rFonts w:eastAsia="Times New Roman" w:cs="Times New Roman"/>
          <w:szCs w:val="24"/>
          <w:lang w:val="en-GB" w:eastAsia="en-GB"/>
        </w:rPr>
        <w:t xml:space="preserve"> in the visual processing </w:t>
      </w:r>
      <w:r w:rsidRPr="000748F3">
        <w:rPr>
          <w:rFonts w:eastAsia="Times New Roman" w:cs="Times New Roman"/>
          <w:noProof/>
          <w:szCs w:val="24"/>
          <w:lang w:val="en-GB" w:eastAsia="en-GB"/>
        </w:rPr>
        <w:t>period</w:t>
      </w:r>
      <w:r w:rsidRPr="000748F3">
        <w:rPr>
          <w:rFonts w:eastAsia="Times New Roman" w:cs="Times New Roman"/>
          <w:szCs w:val="24"/>
          <w:lang w:val="en-GB" w:eastAsia="en-GB"/>
        </w:rPr>
        <w:t>.</w:t>
      </w:r>
    </w:p>
    <w:p w14:paraId="366F2E0B" w14:textId="77777777" w:rsidR="006D5C4F" w:rsidRPr="000748F3" w:rsidRDefault="006D5C4F" w:rsidP="00BD5B59">
      <w:pPr>
        <w:jc w:val="both"/>
        <w:rPr>
          <w:rFonts w:eastAsia="Times New Roman" w:cs="Times New Roman"/>
          <w:szCs w:val="24"/>
          <w:lang w:val="en-GB" w:eastAsia="en-GB"/>
        </w:rPr>
      </w:pPr>
    </w:p>
    <w:p w14:paraId="6E336F2D" w14:textId="77777777" w:rsidR="00DE32BE" w:rsidRDefault="00DE32BE" w:rsidP="00DE32BE">
      <w:pPr>
        <w:jc w:val="both"/>
        <w:rPr>
          <w:rFonts w:eastAsia="PMingLiU" w:cs="Times New Roman"/>
          <w:b/>
          <w:szCs w:val="24"/>
        </w:rPr>
      </w:pPr>
    </w:p>
    <w:p w14:paraId="463CF2AE" w14:textId="77777777" w:rsidR="00DE32BE" w:rsidRPr="00E636B5" w:rsidRDefault="00E636B5" w:rsidP="00DE32BE">
      <w:pPr>
        <w:jc w:val="both"/>
        <w:rPr>
          <w:rFonts w:eastAsia="PMingLiU" w:cs="Times New Roman"/>
          <w:b/>
          <w:szCs w:val="24"/>
        </w:rPr>
      </w:pPr>
      <w:r w:rsidRPr="00E636B5">
        <w:rPr>
          <w:rFonts w:eastAsia="PMingLiU" w:cs="Times New Roman"/>
          <w:b/>
          <w:noProof/>
          <w:szCs w:val="24"/>
        </w:rPr>
        <w:drawing>
          <wp:inline distT="0" distB="0" distL="0" distR="0" wp14:anchorId="2663A3CB" wp14:editId="578F5D0A">
            <wp:extent cx="6208395" cy="3277562"/>
            <wp:effectExtent l="0" t="0" r="0" b="0"/>
            <wp:docPr id="4" name="Picture 4" descr="D:\Users\NELab\Desktop\AFNI_fMRI\fMRI_Analysis _Rupesh\fMRI-EEG_Paper_Draft\Special_Issue_FHN\Reviwer_Comments\All_TIFF_Figs_V6\Picture11_EEG_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ELab\Desktop\AFNI_fMRI\fMRI_Analysis _Rupesh\fMRI-EEG_Paper_Draft\Special_Issue_FHN\Reviwer_Comments\All_TIFF_Figs_V6\Picture11_EEG_SM.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3277562"/>
                    </a:xfrm>
                    <a:prstGeom prst="rect">
                      <a:avLst/>
                    </a:prstGeom>
                    <a:noFill/>
                    <a:ln>
                      <a:noFill/>
                    </a:ln>
                  </pic:spPr>
                </pic:pic>
              </a:graphicData>
            </a:graphic>
          </wp:inline>
        </w:drawing>
      </w:r>
      <w:r w:rsidR="00DE32BE" w:rsidRPr="00DE32BE">
        <w:rPr>
          <w:rFonts w:eastAsia="PMingLiU" w:cs="Times New Roman"/>
          <w:b/>
          <w:szCs w:val="24"/>
        </w:rPr>
        <w:t xml:space="preserve">Supplementary </w:t>
      </w:r>
      <w:r w:rsidR="00DE32BE" w:rsidRPr="00101575">
        <w:rPr>
          <w:rFonts w:eastAsia="PMingLiU" w:cs="Times New Roman"/>
          <w:b/>
          <w:szCs w:val="24"/>
        </w:rPr>
        <w:t>Figure</w:t>
      </w:r>
      <w:r w:rsidR="00A46DF7">
        <w:rPr>
          <w:rFonts w:eastAsia="PMingLiU" w:cs="Times New Roman"/>
          <w:b/>
          <w:szCs w:val="24"/>
        </w:rPr>
        <w:t xml:space="preserve"> 1</w:t>
      </w:r>
      <w:r w:rsidR="00DE32BE" w:rsidRPr="00101575">
        <w:rPr>
          <w:rFonts w:eastAsia="PMingLiU" w:cs="Times New Roman"/>
          <w:szCs w:val="24"/>
        </w:rPr>
        <w:t xml:space="preserve">: </w:t>
      </w:r>
      <w:r w:rsidR="00DE32BE" w:rsidRPr="00101575">
        <w:rPr>
          <w:rFonts w:eastAsia="PMingLiU" w:cs="Times New Roman"/>
          <w:b/>
          <w:szCs w:val="24"/>
        </w:rPr>
        <w:t>The ERSP investigation in the right-IPL of the brain during response inhibition.</w:t>
      </w:r>
      <w:r w:rsidR="00DE32BE" w:rsidRPr="00101575">
        <w:rPr>
          <w:rFonts w:eastAsia="PMingLiU" w:cs="Times New Roman"/>
          <w:szCs w:val="24"/>
        </w:rPr>
        <w:t xml:space="preserve"> Solid red line shows go stimulus onset. Yellow dashed line presents stop signal </w:t>
      </w:r>
      <w:r w:rsidR="00DE32BE" w:rsidRPr="00101575">
        <w:rPr>
          <w:rFonts w:eastAsia="PMingLiU" w:cs="Times New Roman"/>
          <w:noProof/>
          <w:szCs w:val="24"/>
        </w:rPr>
        <w:t>onset</w:t>
      </w:r>
      <w:r w:rsidR="00DE32BE" w:rsidRPr="00101575">
        <w:rPr>
          <w:rFonts w:eastAsia="PMingLiU" w:cs="Times New Roman"/>
          <w:szCs w:val="24"/>
        </w:rPr>
        <w:t xml:space="preserve">. Purple dashed line reveals response onset. </w:t>
      </w:r>
      <w:r w:rsidR="00DE32BE" w:rsidRPr="00101575">
        <w:rPr>
          <w:rFonts w:eastAsia="PMingLiU" w:cs="Times New Roman"/>
          <w:noProof/>
          <w:szCs w:val="24"/>
        </w:rPr>
        <w:t>Statistic</w:t>
      </w:r>
      <w:r w:rsidR="00DE32BE" w:rsidRPr="00101575">
        <w:rPr>
          <w:rFonts w:eastAsia="PMingLiU" w:cs="Times New Roman"/>
          <w:szCs w:val="24"/>
        </w:rPr>
        <w:t xml:space="preserve"> at p &lt;0.01. Color bars indicate the scale of ERSP.</w:t>
      </w:r>
    </w:p>
    <w:p w14:paraId="2B36D541" w14:textId="77777777" w:rsidR="00994A3D" w:rsidRPr="00710AF0" w:rsidRDefault="00710AF0" w:rsidP="002E3E4D">
      <w:pPr>
        <w:spacing w:before="240" w:after="0"/>
        <w:jc w:val="both"/>
        <w:rPr>
          <w:rFonts w:cs="Times New Roman"/>
          <w:b/>
          <w:szCs w:val="24"/>
        </w:rPr>
      </w:pPr>
      <w:r w:rsidRPr="00710AF0">
        <w:rPr>
          <w:rFonts w:cs="Times New Roman"/>
          <w:b/>
          <w:noProof/>
          <w:szCs w:val="24"/>
        </w:rPr>
        <w:lastRenderedPageBreak/>
        <w:drawing>
          <wp:inline distT="0" distB="0" distL="0" distR="0" wp14:anchorId="31F12E9D" wp14:editId="0C95F8AE">
            <wp:extent cx="6208395" cy="3291561"/>
            <wp:effectExtent l="0" t="0" r="0" b="4445"/>
            <wp:docPr id="18" name="Picture 18" descr="D:\Users\NELab\Desktop\AFNI_fMRI\fMRI_Analysis _Rupesh\fMRI-EEG_Paper_Draft\Special_Issue_FHN\Reviwer_Comments\All_TIFF_Figs_V6\Picture12_EEG_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NELab\Desktop\AFNI_fMRI\fMRI_Analysis _Rupesh\fMRI-EEG_Paper_Draft\Special_Issue_FHN\Reviwer_Comments\All_TIFF_Figs_V6\Picture12_EEG_SM.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3291561"/>
                    </a:xfrm>
                    <a:prstGeom prst="rect">
                      <a:avLst/>
                    </a:prstGeom>
                    <a:noFill/>
                    <a:ln>
                      <a:noFill/>
                    </a:ln>
                  </pic:spPr>
                </pic:pic>
              </a:graphicData>
            </a:graphic>
          </wp:inline>
        </w:drawing>
      </w:r>
      <w:r w:rsidR="00994A3D" w:rsidRPr="0001436A">
        <w:rPr>
          <w:rFonts w:cs="Times New Roman"/>
          <w:b/>
          <w:szCs w:val="24"/>
        </w:rPr>
        <w:t xml:space="preserve">Supplementary Figure </w:t>
      </w:r>
      <w:r w:rsidR="00C34ABC">
        <w:rPr>
          <w:rFonts w:cs="Times New Roman"/>
          <w:b/>
          <w:szCs w:val="24"/>
        </w:rPr>
        <w:t>2</w:t>
      </w:r>
      <w:r w:rsidR="00994A3D" w:rsidRPr="0001436A">
        <w:rPr>
          <w:rFonts w:cs="Times New Roman"/>
          <w:b/>
          <w:szCs w:val="24"/>
        </w:rPr>
        <w:t>.</w:t>
      </w:r>
      <w:r w:rsidR="00F14975">
        <w:rPr>
          <w:rFonts w:cs="Times New Roman"/>
          <w:szCs w:val="24"/>
        </w:rPr>
        <w:t xml:space="preserve"> </w:t>
      </w:r>
      <w:r w:rsidR="00F14975" w:rsidRPr="00F14975">
        <w:rPr>
          <w:rFonts w:cs="Times New Roman"/>
          <w:szCs w:val="24"/>
        </w:rPr>
        <w:t>The event-related spectral perturbation (ERSP) images of right MFG cluster under inhibitory control. Red solid line: onset of the go stimulus; yellow dash line: onset of the stop signal; purple dash line: onset of response; color bars indicate the magnitude of the ERSPs; statistical threshold at p &lt; 0.01.</w:t>
      </w:r>
    </w:p>
    <w:p w14:paraId="719FE27F" w14:textId="77777777" w:rsidR="009A6740" w:rsidRPr="00840888" w:rsidRDefault="00840888" w:rsidP="00840888">
      <w:pPr>
        <w:spacing w:before="240" w:after="0"/>
        <w:jc w:val="both"/>
        <w:rPr>
          <w:rFonts w:cs="Times New Roman"/>
        </w:rPr>
      </w:pPr>
      <w:r w:rsidRPr="00840888">
        <w:rPr>
          <w:rFonts w:cs="Times New Roman"/>
          <w:noProof/>
        </w:rPr>
        <w:drawing>
          <wp:inline distT="0" distB="0" distL="0" distR="0" wp14:anchorId="7071F52A" wp14:editId="5ED730CF">
            <wp:extent cx="6208395" cy="3311208"/>
            <wp:effectExtent l="0" t="0" r="0" b="3810"/>
            <wp:docPr id="9" name="Picture 9" descr="D:\Users\NELab\Desktop\AFNI_fMRI\fMRI_Analysis _Rupesh\fMRI-EEG_Paper_Draft\Special_Issue_FHN\Reviwer_Comments\All_TIFF_Figs_V6\Picture13_EEG_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ELab\Desktop\AFNI_fMRI\fMRI_Analysis _Rupesh\fMRI-EEG_Paper_Draft\Special_Issue_FHN\Reviwer_Comments\All_TIFF_Figs_V6\Picture13_EEG_SM.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3311208"/>
                    </a:xfrm>
                    <a:prstGeom prst="rect">
                      <a:avLst/>
                    </a:prstGeom>
                    <a:noFill/>
                    <a:ln>
                      <a:noFill/>
                    </a:ln>
                  </pic:spPr>
                </pic:pic>
              </a:graphicData>
            </a:graphic>
          </wp:inline>
        </w:drawing>
      </w:r>
      <w:r w:rsidR="009A6740" w:rsidRPr="009A6740">
        <w:rPr>
          <w:b/>
        </w:rPr>
        <w:t>Supplementary Figure</w:t>
      </w:r>
      <w:r w:rsidR="00C34ABC">
        <w:rPr>
          <w:b/>
        </w:rPr>
        <w:t xml:space="preserve"> 3</w:t>
      </w:r>
      <w:r w:rsidR="009A6740" w:rsidRPr="009A6740">
        <w:rPr>
          <w:b/>
        </w:rPr>
        <w:t>.</w:t>
      </w:r>
      <w:r w:rsidR="009A6740" w:rsidRPr="009A6740">
        <w:t xml:space="preserve"> </w:t>
      </w:r>
      <w:r w:rsidR="0038014D" w:rsidRPr="0038014D">
        <w:t>The ERSP images of left MOG cluster for processing visual stimuli under inhibitory control. Red solid line: onset of the go stimulus; yellow dash line: onset of the stop signal; purple dash line: onset of response; color bars indicate the magnitude of the ERSPs; statistical threshold at p &lt; 0.01.</w:t>
      </w:r>
    </w:p>
    <w:p w14:paraId="1DC111B5" w14:textId="77777777" w:rsidR="004A6945" w:rsidRPr="006F3224" w:rsidRDefault="006F3224" w:rsidP="00B64F83">
      <w:pPr>
        <w:spacing w:before="240"/>
      </w:pPr>
      <w:r w:rsidRPr="006F3224">
        <w:rPr>
          <w:noProof/>
        </w:rPr>
        <w:lastRenderedPageBreak/>
        <w:drawing>
          <wp:inline distT="0" distB="0" distL="0" distR="0" wp14:anchorId="00786C6A" wp14:editId="26E3D19C">
            <wp:extent cx="6208395" cy="3272201"/>
            <wp:effectExtent l="0" t="0" r="0" b="4445"/>
            <wp:docPr id="17" name="Picture 17" descr="D:\Users\NELab\Desktop\AFNI_fMRI\fMRI_Analysis _Rupesh\fMRI-EEG_Paper_Draft\Special_Issue_FHN\Reviwer_Comments\All_TIFF_Figs_V6\Picture14_EEG_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ELab\Desktop\AFNI_fMRI\fMRI_Analysis _Rupesh\fMRI-EEG_Paper_Draft\Special_Issue_FHN\Reviwer_Comments\All_TIFF_Figs_V6\Picture14_EEG_SM.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3272201"/>
                    </a:xfrm>
                    <a:prstGeom prst="rect">
                      <a:avLst/>
                    </a:prstGeom>
                    <a:noFill/>
                    <a:ln>
                      <a:noFill/>
                    </a:ln>
                  </pic:spPr>
                </pic:pic>
              </a:graphicData>
            </a:graphic>
          </wp:inline>
        </w:drawing>
      </w:r>
      <w:r w:rsidR="00C34ABC">
        <w:rPr>
          <w:rFonts w:cs="Times New Roman"/>
          <w:b/>
          <w:szCs w:val="24"/>
        </w:rPr>
        <w:t>Supplementary Figure 4</w:t>
      </w:r>
      <w:r w:rsidR="004A6945" w:rsidRPr="004C4935">
        <w:rPr>
          <w:rFonts w:cs="Times New Roman"/>
          <w:b/>
          <w:szCs w:val="24"/>
        </w:rPr>
        <w:t>.</w:t>
      </w:r>
      <w:r w:rsidR="00441707">
        <w:rPr>
          <w:rFonts w:cs="Times New Roman"/>
          <w:szCs w:val="24"/>
        </w:rPr>
        <w:t xml:space="preserve"> </w:t>
      </w:r>
      <w:r w:rsidR="00441707" w:rsidRPr="00441707">
        <w:rPr>
          <w:rFonts w:cs="Times New Roman"/>
          <w:szCs w:val="24"/>
        </w:rPr>
        <w:t>The ERSP images of right MOG cluster for processing visual stimuli under inhibitory control. Red solid line: onset of the go stimulus; yellow dash line: onset of the stop signal; purple dash line: onset of response; color bars indicate the magnitude of the ERSPs; statistical threshold at p &lt; 0.01.</w:t>
      </w:r>
    </w:p>
    <w:p w14:paraId="12D11211" w14:textId="77777777" w:rsidR="00972196" w:rsidRPr="00B64F83" w:rsidRDefault="00972196" w:rsidP="00B64F83">
      <w:pPr>
        <w:spacing w:before="240"/>
      </w:pPr>
    </w:p>
    <w:p w14:paraId="79AECA53" w14:textId="77777777" w:rsidR="009A6740" w:rsidRDefault="00C62BEA" w:rsidP="00C62BEA">
      <w:pPr>
        <w:spacing w:before="240"/>
        <w:jc w:val="center"/>
      </w:pPr>
      <w:r w:rsidRPr="00C62BEA">
        <w:rPr>
          <w:noProof/>
        </w:rPr>
        <w:drawing>
          <wp:inline distT="0" distB="0" distL="0" distR="0" wp14:anchorId="0CED22DF" wp14:editId="005F71C9">
            <wp:extent cx="4167292" cy="3072716"/>
            <wp:effectExtent l="0" t="0" r="5080" b="0"/>
            <wp:docPr id="10" name="Picture 10" descr="D:\Users\NELab\Desktop\AFNI_fMRI\fMRI_Analysis _Rupesh\fMRI-EEG_Paper_Draft\Special_Issue_FHN\Manuscript_R2\All_TIFF_Figs_V3\Baseline_Figs_SM\preSMA_SS_SG_F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ELab\Desktop\AFNI_fMRI\fMRI_Analysis _Rupesh\fMRI-EEG_Paper_Draft\Special_Issue_FHN\Manuscript_R2\All_TIFF_Figs_V3\Baseline_Figs_SM\preSMA_SS_SG_F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349" cy="3083081"/>
                    </a:xfrm>
                    <a:prstGeom prst="rect">
                      <a:avLst/>
                    </a:prstGeom>
                    <a:noFill/>
                    <a:ln>
                      <a:noFill/>
                    </a:ln>
                  </pic:spPr>
                </pic:pic>
              </a:graphicData>
            </a:graphic>
          </wp:inline>
        </w:drawing>
      </w:r>
    </w:p>
    <w:p w14:paraId="4194BC2D" w14:textId="77777777" w:rsidR="004A6945" w:rsidRDefault="004A6945" w:rsidP="00F91DB9">
      <w:pPr>
        <w:spacing w:before="240"/>
        <w:jc w:val="both"/>
      </w:pPr>
      <w:r w:rsidRPr="004A6945">
        <w:rPr>
          <w:b/>
        </w:rPr>
        <w:t>Supplementary Figure</w:t>
      </w:r>
      <w:r w:rsidR="00C34ABC">
        <w:rPr>
          <w:b/>
        </w:rPr>
        <w:t xml:space="preserve"> 5</w:t>
      </w:r>
      <w:r w:rsidRPr="004A6945">
        <w:rPr>
          <w:b/>
        </w:rPr>
        <w:t>.</w:t>
      </w:r>
      <w:r w:rsidRPr="004A6945">
        <w:t xml:space="preserve"> </w:t>
      </w:r>
      <w:r w:rsidR="00C62BEA" w:rsidRPr="00C62BEA">
        <w:t xml:space="preserve">Mean Baseline power of successful stop (SS), successful go (SG) under </w:t>
      </w:r>
      <w:proofErr w:type="spellStart"/>
      <w:r w:rsidR="00C62BEA" w:rsidRPr="00C62BEA">
        <w:t>preSMA</w:t>
      </w:r>
      <w:proofErr w:type="spellEnd"/>
      <w:r w:rsidR="00C62BEA" w:rsidRPr="00C62BEA">
        <w:t>.</w:t>
      </w:r>
    </w:p>
    <w:p w14:paraId="0203E517" w14:textId="77777777" w:rsidR="0030035F" w:rsidRDefault="0030035F" w:rsidP="0030035F">
      <w:pPr>
        <w:spacing w:before="240"/>
        <w:jc w:val="center"/>
      </w:pPr>
      <w:r w:rsidRPr="0030035F">
        <w:rPr>
          <w:noProof/>
        </w:rPr>
        <w:lastRenderedPageBreak/>
        <w:drawing>
          <wp:inline distT="0" distB="0" distL="0" distR="0" wp14:anchorId="689CE0A8" wp14:editId="65636ACE">
            <wp:extent cx="4237355" cy="3151640"/>
            <wp:effectExtent l="0" t="0" r="0" b="0"/>
            <wp:docPr id="11" name="Picture 11" descr="D:\Users\NELab\Desktop\AFNI_fMRI\fMRI_Analysis _Rupesh\fMRI-EEG_Paper_Draft\Special_Issue_FHN\Manuscript_R2\All_TIFF_Figs_V3\Baseline_Figs_SM\rMFG_SS_SG_F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NELab\Desktop\AFNI_fMRI\fMRI_Analysis _Rupesh\fMRI-EEG_Paper_Draft\Special_Issue_FHN\Manuscript_R2\All_TIFF_Figs_V3\Baseline_Figs_SM\rMFG_SS_SG_F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6723" cy="3166046"/>
                    </a:xfrm>
                    <a:prstGeom prst="rect">
                      <a:avLst/>
                    </a:prstGeom>
                    <a:noFill/>
                    <a:ln>
                      <a:noFill/>
                    </a:ln>
                  </pic:spPr>
                </pic:pic>
              </a:graphicData>
            </a:graphic>
          </wp:inline>
        </w:drawing>
      </w:r>
    </w:p>
    <w:p w14:paraId="6A78558E" w14:textId="77777777" w:rsidR="00C62BEA" w:rsidRDefault="00C62BEA" w:rsidP="00C62BEA">
      <w:pPr>
        <w:spacing w:before="240"/>
        <w:jc w:val="both"/>
      </w:pPr>
      <w:r w:rsidRPr="004A6945">
        <w:rPr>
          <w:b/>
        </w:rPr>
        <w:t>Supplementary Figure</w:t>
      </w:r>
      <w:r w:rsidR="00C34ABC">
        <w:rPr>
          <w:b/>
        </w:rPr>
        <w:t xml:space="preserve"> 6</w:t>
      </w:r>
      <w:r w:rsidRPr="004A6945">
        <w:rPr>
          <w:b/>
        </w:rPr>
        <w:t>.</w:t>
      </w:r>
      <w:r w:rsidRPr="004A6945">
        <w:t xml:space="preserve"> </w:t>
      </w:r>
      <w:r w:rsidR="0030035F" w:rsidRPr="0030035F">
        <w:t>Mean Baseline power of successful stop (SS), successful go (SG) under right MFG.</w:t>
      </w:r>
    </w:p>
    <w:p w14:paraId="25771D41" w14:textId="77777777" w:rsidR="0030035F" w:rsidRPr="004A6945" w:rsidRDefault="0030035F" w:rsidP="00C62BEA">
      <w:pPr>
        <w:spacing w:before="240"/>
        <w:jc w:val="both"/>
        <w:rPr>
          <w:b/>
        </w:rPr>
      </w:pPr>
    </w:p>
    <w:p w14:paraId="65AA09F9" w14:textId="77777777" w:rsidR="0030035F" w:rsidRDefault="0030035F" w:rsidP="00B64F83">
      <w:pPr>
        <w:spacing w:before="240"/>
        <w:jc w:val="center"/>
        <w:rPr>
          <w:b/>
        </w:rPr>
      </w:pPr>
      <w:r w:rsidRPr="0030035F">
        <w:rPr>
          <w:b/>
          <w:noProof/>
        </w:rPr>
        <w:drawing>
          <wp:inline distT="0" distB="0" distL="0" distR="0" wp14:anchorId="3205423E" wp14:editId="0ECB2376">
            <wp:extent cx="3974123" cy="2980592"/>
            <wp:effectExtent l="0" t="0" r="7620" b="0"/>
            <wp:docPr id="12" name="Picture 12" descr="D:\Users\NELab\Desktop\AFNI_fMRI\fMRI_Analysis _Rupesh\fMRI-EEG_Paper_Draft\Special_Issue_FHN\Manuscript_R2\All_TIFF_Figs_V3\Baseline_Figs_SM\lIFG_SS_SG_F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ELab\Desktop\AFNI_fMRI\fMRI_Analysis _Rupesh\fMRI-EEG_Paper_Draft\Special_Issue_FHN\Manuscript_R2\All_TIFF_Figs_V3\Baseline_Figs_SM\lIFG_SS_SG_F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474D7A9C" w14:textId="77777777" w:rsidR="00C62BEA" w:rsidRDefault="00C62BEA" w:rsidP="00C62BEA">
      <w:pPr>
        <w:spacing w:before="240"/>
        <w:jc w:val="both"/>
      </w:pPr>
      <w:r w:rsidRPr="004A6945">
        <w:rPr>
          <w:b/>
        </w:rPr>
        <w:t>Supplementary Figure</w:t>
      </w:r>
      <w:r w:rsidR="00C34ABC">
        <w:rPr>
          <w:b/>
        </w:rPr>
        <w:t xml:space="preserve"> 7</w:t>
      </w:r>
      <w:r w:rsidRPr="004A6945">
        <w:rPr>
          <w:b/>
        </w:rPr>
        <w:t>.</w:t>
      </w:r>
      <w:r w:rsidRPr="004A6945">
        <w:t xml:space="preserve"> </w:t>
      </w:r>
      <w:r w:rsidR="0030035F" w:rsidRPr="0030035F">
        <w:t xml:space="preserve">Mean Baseline power of successful stop (SS), successful go (SG) under right </w:t>
      </w:r>
      <w:proofErr w:type="spellStart"/>
      <w:r w:rsidR="0030035F" w:rsidRPr="0030035F">
        <w:t>lIFG</w:t>
      </w:r>
      <w:proofErr w:type="spellEnd"/>
      <w:r w:rsidR="0030035F" w:rsidRPr="0030035F">
        <w:t>.</w:t>
      </w:r>
    </w:p>
    <w:p w14:paraId="026594C2" w14:textId="77777777" w:rsidR="0030035F" w:rsidRPr="004A6945" w:rsidRDefault="0030035F" w:rsidP="00B64F83">
      <w:pPr>
        <w:spacing w:before="240"/>
        <w:jc w:val="center"/>
        <w:rPr>
          <w:b/>
        </w:rPr>
      </w:pPr>
      <w:r w:rsidRPr="0030035F">
        <w:rPr>
          <w:b/>
          <w:noProof/>
        </w:rPr>
        <w:lastRenderedPageBreak/>
        <w:drawing>
          <wp:inline distT="0" distB="0" distL="0" distR="0" wp14:anchorId="221C1EAA" wp14:editId="2BD12D76">
            <wp:extent cx="4043680" cy="2944837"/>
            <wp:effectExtent l="0" t="0" r="0" b="8255"/>
            <wp:docPr id="13" name="Picture 13" descr="D:\Users\NELab\Desktop\AFNI_fMRI\fMRI_Analysis _Rupesh\fMRI-EEG_Paper_Draft\Special_Issue_FHN\Manuscript_R2\All_TIFF_Figs_V3\Baseline_Figs_SM\PCG_SS_SG_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NELab\Desktop\AFNI_fMRI\fMRI_Analysis _Rupesh\fMRI-EEG_Paper_Draft\Special_Issue_FHN\Manuscript_R2\All_TIFF_Figs_V3\Baseline_Figs_SM\PCG_SS_SG_F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320" cy="2954770"/>
                    </a:xfrm>
                    <a:prstGeom prst="rect">
                      <a:avLst/>
                    </a:prstGeom>
                    <a:noFill/>
                    <a:ln>
                      <a:noFill/>
                    </a:ln>
                  </pic:spPr>
                </pic:pic>
              </a:graphicData>
            </a:graphic>
          </wp:inline>
        </w:drawing>
      </w:r>
    </w:p>
    <w:p w14:paraId="0E08810A" w14:textId="77777777" w:rsidR="00C62BEA" w:rsidRDefault="00C62BEA" w:rsidP="00C62BEA">
      <w:pPr>
        <w:spacing w:before="240"/>
        <w:jc w:val="both"/>
      </w:pPr>
      <w:r w:rsidRPr="004A6945">
        <w:rPr>
          <w:b/>
        </w:rPr>
        <w:t>Supplementary Figure</w:t>
      </w:r>
      <w:r w:rsidR="00C34ABC">
        <w:rPr>
          <w:b/>
        </w:rPr>
        <w:t xml:space="preserve"> 8</w:t>
      </w:r>
      <w:r w:rsidRPr="004A6945">
        <w:rPr>
          <w:b/>
        </w:rPr>
        <w:t>.</w:t>
      </w:r>
      <w:r w:rsidRPr="004A6945">
        <w:t xml:space="preserve"> </w:t>
      </w:r>
      <w:r w:rsidR="0030035F" w:rsidRPr="0030035F">
        <w:t>Mean Baseline power of successful stop (SS), successful go (SG) under PCG.</w:t>
      </w:r>
    </w:p>
    <w:p w14:paraId="774B16B4" w14:textId="77777777" w:rsidR="005D37A9" w:rsidRPr="004A6945" w:rsidRDefault="005D37A9" w:rsidP="00B64F83">
      <w:pPr>
        <w:spacing w:before="240"/>
        <w:jc w:val="center"/>
        <w:rPr>
          <w:b/>
        </w:rPr>
      </w:pPr>
      <w:r w:rsidRPr="005D37A9">
        <w:rPr>
          <w:b/>
          <w:noProof/>
        </w:rPr>
        <w:drawing>
          <wp:inline distT="0" distB="0" distL="0" distR="0" wp14:anchorId="12C9C935" wp14:editId="6238B8B7">
            <wp:extent cx="4079240" cy="3015468"/>
            <wp:effectExtent l="0" t="0" r="0" b="0"/>
            <wp:docPr id="14" name="Picture 14" descr="D:\Users\NELab\Desktop\AFNI_fMRI\fMRI_Analysis _Rupesh\fMRI-EEG_Paper_Draft\Special_Issue_FHN\Manuscript_R2\All_TIFF_Figs_V3\Baseline_Figs_SM\rIPL_SS_SG_F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NELab\Desktop\AFNI_fMRI\fMRI_Analysis _Rupesh\fMRI-EEG_Paper_Draft\Special_Issue_FHN\Manuscript_R2\All_TIFF_Figs_V3\Baseline_Figs_SM\rIPL_SS_SG_F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4564" cy="3019404"/>
                    </a:xfrm>
                    <a:prstGeom prst="rect">
                      <a:avLst/>
                    </a:prstGeom>
                    <a:noFill/>
                    <a:ln>
                      <a:noFill/>
                    </a:ln>
                  </pic:spPr>
                </pic:pic>
              </a:graphicData>
            </a:graphic>
          </wp:inline>
        </w:drawing>
      </w:r>
    </w:p>
    <w:p w14:paraId="16B2DF78" w14:textId="77777777" w:rsidR="00C62BEA" w:rsidRDefault="00C62BEA" w:rsidP="00C62BEA">
      <w:pPr>
        <w:spacing w:before="240"/>
        <w:jc w:val="both"/>
      </w:pPr>
      <w:r w:rsidRPr="004A6945">
        <w:rPr>
          <w:b/>
        </w:rPr>
        <w:t>Supplementary Figure</w:t>
      </w:r>
      <w:r w:rsidR="00C34ABC">
        <w:rPr>
          <w:b/>
        </w:rPr>
        <w:t xml:space="preserve"> 9</w:t>
      </w:r>
      <w:r w:rsidRPr="004A6945">
        <w:rPr>
          <w:b/>
        </w:rPr>
        <w:t>.</w:t>
      </w:r>
      <w:r w:rsidR="0030035F">
        <w:t xml:space="preserve"> </w:t>
      </w:r>
      <w:r w:rsidR="0030035F" w:rsidRPr="0030035F">
        <w:t xml:space="preserve">Mean Baseline power of successful stop (SS), successful go (SG) under </w:t>
      </w:r>
      <w:proofErr w:type="spellStart"/>
      <w:r w:rsidR="0030035F" w:rsidRPr="0030035F">
        <w:t>rIPL</w:t>
      </w:r>
      <w:proofErr w:type="spellEnd"/>
      <w:r w:rsidR="0030035F" w:rsidRPr="0030035F">
        <w:t>.</w:t>
      </w:r>
    </w:p>
    <w:p w14:paraId="6733BD9B" w14:textId="77777777" w:rsidR="007521CB" w:rsidRPr="004A6945" w:rsidRDefault="007521CB" w:rsidP="00B64F83">
      <w:pPr>
        <w:spacing w:before="240"/>
        <w:jc w:val="center"/>
        <w:rPr>
          <w:b/>
        </w:rPr>
      </w:pPr>
      <w:r w:rsidRPr="007521CB">
        <w:rPr>
          <w:b/>
          <w:noProof/>
        </w:rPr>
        <w:lastRenderedPageBreak/>
        <w:drawing>
          <wp:inline distT="0" distB="0" distL="0" distR="0" wp14:anchorId="351322BE" wp14:editId="3A2899D5">
            <wp:extent cx="4123055" cy="3039537"/>
            <wp:effectExtent l="0" t="0" r="0" b="8890"/>
            <wp:docPr id="15" name="Picture 15" descr="D:\Users\NELab\Desktop\AFNI_fMRI\fMRI_Analysis _Rupesh\fMRI-EEG_Paper_Draft\Special_Issue_FHN\Manuscript_R2\All_TIFF_Figs_V3\Baseline_Figs_SM\rMOG_SS_SG_F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ELab\Desktop\AFNI_fMRI\fMRI_Analysis _Rupesh\fMRI-EEG_Paper_Draft\Special_Issue_FHN\Manuscript_R2\All_TIFF_Figs_V3\Baseline_Figs_SM\rMOG_SS_SG_F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0504" cy="3045029"/>
                    </a:xfrm>
                    <a:prstGeom prst="rect">
                      <a:avLst/>
                    </a:prstGeom>
                    <a:noFill/>
                    <a:ln>
                      <a:noFill/>
                    </a:ln>
                  </pic:spPr>
                </pic:pic>
              </a:graphicData>
            </a:graphic>
          </wp:inline>
        </w:drawing>
      </w:r>
    </w:p>
    <w:p w14:paraId="46FDDA4B" w14:textId="77777777" w:rsidR="00C62BEA" w:rsidRDefault="00C62BEA" w:rsidP="00C62BEA">
      <w:pPr>
        <w:spacing w:before="240"/>
        <w:jc w:val="both"/>
      </w:pPr>
      <w:r w:rsidRPr="004A6945">
        <w:rPr>
          <w:b/>
        </w:rPr>
        <w:t>Supplementary Figure</w:t>
      </w:r>
      <w:r w:rsidR="00C34ABC">
        <w:rPr>
          <w:b/>
        </w:rPr>
        <w:t xml:space="preserve"> 10</w:t>
      </w:r>
      <w:r w:rsidRPr="004A6945">
        <w:rPr>
          <w:b/>
        </w:rPr>
        <w:t>.</w:t>
      </w:r>
      <w:r w:rsidRPr="004A6945">
        <w:t xml:space="preserve"> </w:t>
      </w:r>
      <w:r w:rsidR="005D37A9" w:rsidRPr="005D37A9">
        <w:t>Mean Baseline power of successful stop (SS), suc</w:t>
      </w:r>
      <w:r w:rsidR="005D37A9">
        <w:t>cessful go (SG) under right MOG</w:t>
      </w:r>
      <w:r w:rsidRPr="00C62BEA">
        <w:t>.</w:t>
      </w:r>
    </w:p>
    <w:p w14:paraId="13AC5A2C" w14:textId="77777777" w:rsidR="007521CB" w:rsidRPr="004A6945" w:rsidRDefault="007521CB" w:rsidP="00B64F83">
      <w:pPr>
        <w:spacing w:before="240"/>
        <w:jc w:val="center"/>
        <w:rPr>
          <w:b/>
        </w:rPr>
      </w:pPr>
      <w:r w:rsidRPr="007521CB">
        <w:rPr>
          <w:b/>
          <w:noProof/>
        </w:rPr>
        <w:drawing>
          <wp:inline distT="0" distB="0" distL="0" distR="0" wp14:anchorId="42A24CCE" wp14:editId="67695F2A">
            <wp:extent cx="4105486" cy="3043946"/>
            <wp:effectExtent l="0" t="0" r="0" b="4445"/>
            <wp:docPr id="16" name="Picture 16" descr="D:\Users\NELab\Desktop\AFNI_fMRI\fMRI_Analysis _Rupesh\fMRI-EEG_Paper_Draft\Special_Issue_FHN\Manuscript_R2\All_TIFF_Figs_V3\Baseline_Figs_SM\lMOG_SS_SG_F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NELab\Desktop\AFNI_fMRI\fMRI_Analysis _Rupesh\fMRI-EEG_Paper_Draft\Special_Issue_FHN\Manuscript_R2\All_TIFF_Figs_V3\Baseline_Figs_SM\lMOG_SS_SG_F1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3922" cy="3050201"/>
                    </a:xfrm>
                    <a:prstGeom prst="rect">
                      <a:avLst/>
                    </a:prstGeom>
                    <a:noFill/>
                    <a:ln>
                      <a:noFill/>
                    </a:ln>
                  </pic:spPr>
                </pic:pic>
              </a:graphicData>
            </a:graphic>
          </wp:inline>
        </w:drawing>
      </w:r>
    </w:p>
    <w:p w14:paraId="560C052D" w14:textId="77777777" w:rsidR="00C62BEA" w:rsidRPr="004A6945" w:rsidRDefault="00C62BEA" w:rsidP="00C62BEA">
      <w:pPr>
        <w:spacing w:before="240"/>
        <w:jc w:val="both"/>
        <w:rPr>
          <w:b/>
        </w:rPr>
      </w:pPr>
      <w:r w:rsidRPr="004A6945">
        <w:rPr>
          <w:b/>
        </w:rPr>
        <w:t>Supplementary Figure</w:t>
      </w:r>
      <w:r w:rsidR="00C34ABC">
        <w:rPr>
          <w:b/>
        </w:rPr>
        <w:t xml:space="preserve"> 11</w:t>
      </w:r>
      <w:r w:rsidRPr="004A6945">
        <w:rPr>
          <w:b/>
        </w:rPr>
        <w:t>.</w:t>
      </w:r>
      <w:r w:rsidRPr="004A6945">
        <w:t xml:space="preserve"> </w:t>
      </w:r>
      <w:r w:rsidR="007521CB" w:rsidRPr="007521CB">
        <w:t>Mean Baseline power of successful stop (SS), successful go (SG) under left MOG.</w:t>
      </w:r>
    </w:p>
    <w:p w14:paraId="262F7C38" w14:textId="77777777" w:rsidR="00C62BEA" w:rsidRPr="004A6945" w:rsidRDefault="00C62BEA" w:rsidP="00F91DB9">
      <w:pPr>
        <w:spacing w:before="240"/>
        <w:jc w:val="both"/>
        <w:rPr>
          <w:b/>
        </w:rPr>
      </w:pPr>
    </w:p>
    <w:sectPr w:rsidR="00C62BEA" w:rsidRPr="004A6945"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DB961" w14:textId="77777777" w:rsidR="001572D2" w:rsidRDefault="001572D2" w:rsidP="00117666">
      <w:pPr>
        <w:spacing w:after="0"/>
      </w:pPr>
      <w:r>
        <w:separator/>
      </w:r>
    </w:p>
  </w:endnote>
  <w:endnote w:type="continuationSeparator" w:id="0">
    <w:p w14:paraId="0AD9BC44" w14:textId="77777777" w:rsidR="001572D2" w:rsidRDefault="001572D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51B0A"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5883C7EE" wp14:editId="5299DDAF">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84C0337"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E14E2">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83C7E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784C0337"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E14E2">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B023D"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3DA75D0" wp14:editId="1EE6945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5697A7A"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E14E2">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3DA75D0"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65697A7A"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E14E2">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7CEAF" w14:textId="77777777" w:rsidR="001572D2" w:rsidRDefault="001572D2" w:rsidP="00117666">
      <w:pPr>
        <w:spacing w:after="0"/>
      </w:pPr>
      <w:r>
        <w:separator/>
      </w:r>
    </w:p>
  </w:footnote>
  <w:footnote w:type="continuationSeparator" w:id="0">
    <w:p w14:paraId="6339C2D2" w14:textId="77777777" w:rsidR="001572D2" w:rsidRDefault="001572D2"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54CCD"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B7F53" w14:textId="77777777" w:rsidR="00995F6A" w:rsidRDefault="0093429D" w:rsidP="0093429D">
    <w:r w:rsidRPr="005A1D84">
      <w:rPr>
        <w:b/>
        <w:noProof/>
        <w:color w:val="A6A6A6" w:themeColor="background1" w:themeShade="A6"/>
      </w:rPr>
      <w:drawing>
        <wp:inline distT="0" distB="0" distL="0" distR="0" wp14:anchorId="0ED5971D" wp14:editId="3312EE48">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U2NzKztDQxMTEzNzVT0lEKTi0uzszPAykwqgUAyplSiywAAAA="/>
  </w:docVars>
  <w:rsids>
    <w:rsidRoot w:val="00484109"/>
    <w:rsid w:val="0001436A"/>
    <w:rsid w:val="00034304"/>
    <w:rsid w:val="00035434"/>
    <w:rsid w:val="00052A14"/>
    <w:rsid w:val="000748F3"/>
    <w:rsid w:val="00076B59"/>
    <w:rsid w:val="00077D53"/>
    <w:rsid w:val="000A7D19"/>
    <w:rsid w:val="000D25C4"/>
    <w:rsid w:val="00105FD9"/>
    <w:rsid w:val="00117666"/>
    <w:rsid w:val="001549D3"/>
    <w:rsid w:val="001572D2"/>
    <w:rsid w:val="00160065"/>
    <w:rsid w:val="00177D84"/>
    <w:rsid w:val="001E14E2"/>
    <w:rsid w:val="00236598"/>
    <w:rsid w:val="00267D18"/>
    <w:rsid w:val="002868E2"/>
    <w:rsid w:val="002869C3"/>
    <w:rsid w:val="00290A30"/>
    <w:rsid w:val="002936E4"/>
    <w:rsid w:val="002B4A57"/>
    <w:rsid w:val="002B7ECF"/>
    <w:rsid w:val="002C74CA"/>
    <w:rsid w:val="002E3E4D"/>
    <w:rsid w:val="002F2694"/>
    <w:rsid w:val="0030035F"/>
    <w:rsid w:val="003544FB"/>
    <w:rsid w:val="0038014D"/>
    <w:rsid w:val="0039115D"/>
    <w:rsid w:val="003D2F2D"/>
    <w:rsid w:val="00401590"/>
    <w:rsid w:val="00441707"/>
    <w:rsid w:val="00447801"/>
    <w:rsid w:val="00452E9C"/>
    <w:rsid w:val="00466B25"/>
    <w:rsid w:val="004735C8"/>
    <w:rsid w:val="00476756"/>
    <w:rsid w:val="00484109"/>
    <w:rsid w:val="004961FF"/>
    <w:rsid w:val="004A6945"/>
    <w:rsid w:val="004C4935"/>
    <w:rsid w:val="00517A89"/>
    <w:rsid w:val="005250F2"/>
    <w:rsid w:val="00593EEA"/>
    <w:rsid w:val="005A10C2"/>
    <w:rsid w:val="005A5EEE"/>
    <w:rsid w:val="005D37A9"/>
    <w:rsid w:val="00631AF4"/>
    <w:rsid w:val="006375C7"/>
    <w:rsid w:val="00654E8F"/>
    <w:rsid w:val="00660D05"/>
    <w:rsid w:val="006820B1"/>
    <w:rsid w:val="006B7D14"/>
    <w:rsid w:val="006D5C4F"/>
    <w:rsid w:val="006F3224"/>
    <w:rsid w:val="00701727"/>
    <w:rsid w:val="0070566C"/>
    <w:rsid w:val="00710AF0"/>
    <w:rsid w:val="00714C50"/>
    <w:rsid w:val="00725A7D"/>
    <w:rsid w:val="007501BE"/>
    <w:rsid w:val="007521CB"/>
    <w:rsid w:val="00790BB3"/>
    <w:rsid w:val="007A25D1"/>
    <w:rsid w:val="007C206C"/>
    <w:rsid w:val="007C3756"/>
    <w:rsid w:val="00817DD6"/>
    <w:rsid w:val="00825C80"/>
    <w:rsid w:val="00840888"/>
    <w:rsid w:val="00854387"/>
    <w:rsid w:val="00860C4B"/>
    <w:rsid w:val="008774B5"/>
    <w:rsid w:val="00885156"/>
    <w:rsid w:val="008E61DF"/>
    <w:rsid w:val="009151AA"/>
    <w:rsid w:val="0093429D"/>
    <w:rsid w:val="00934D5E"/>
    <w:rsid w:val="00943573"/>
    <w:rsid w:val="009549A6"/>
    <w:rsid w:val="009638FD"/>
    <w:rsid w:val="00970F7D"/>
    <w:rsid w:val="00972196"/>
    <w:rsid w:val="00994A3D"/>
    <w:rsid w:val="009A6740"/>
    <w:rsid w:val="009C2B12"/>
    <w:rsid w:val="009D1896"/>
    <w:rsid w:val="009D74AB"/>
    <w:rsid w:val="00A174D9"/>
    <w:rsid w:val="00A46DF7"/>
    <w:rsid w:val="00A5457C"/>
    <w:rsid w:val="00AB6715"/>
    <w:rsid w:val="00AE0B66"/>
    <w:rsid w:val="00B13EFB"/>
    <w:rsid w:val="00B1671E"/>
    <w:rsid w:val="00B25EB8"/>
    <w:rsid w:val="00B30FDC"/>
    <w:rsid w:val="00B37F4D"/>
    <w:rsid w:val="00B64F83"/>
    <w:rsid w:val="00B7369C"/>
    <w:rsid w:val="00BA7993"/>
    <w:rsid w:val="00BD5B59"/>
    <w:rsid w:val="00C11672"/>
    <w:rsid w:val="00C34ABC"/>
    <w:rsid w:val="00C52A7B"/>
    <w:rsid w:val="00C56BAF"/>
    <w:rsid w:val="00C62BEA"/>
    <w:rsid w:val="00C679AA"/>
    <w:rsid w:val="00C75972"/>
    <w:rsid w:val="00CD066B"/>
    <w:rsid w:val="00CE4FEE"/>
    <w:rsid w:val="00DB59C3"/>
    <w:rsid w:val="00DC259A"/>
    <w:rsid w:val="00DC6488"/>
    <w:rsid w:val="00DE23E8"/>
    <w:rsid w:val="00DE32BE"/>
    <w:rsid w:val="00E52377"/>
    <w:rsid w:val="00E555D4"/>
    <w:rsid w:val="00E636B5"/>
    <w:rsid w:val="00E64E17"/>
    <w:rsid w:val="00E866C9"/>
    <w:rsid w:val="00EA3D3C"/>
    <w:rsid w:val="00F14975"/>
    <w:rsid w:val="00F46900"/>
    <w:rsid w:val="00F61D89"/>
    <w:rsid w:val="00F91DB9"/>
    <w:rsid w:val="00FD4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5E391"/>
  <w15:docId w15:val="{5D7690F2-3B66-4CC6-A193-63CA2186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94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wko@mail.nctu.edu.tw"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eader" Target="header2.xml"/><Relationship Id="rId28" Type="http://schemas.openxmlformats.org/officeDocument/2006/relationships/customXml" Target="../customXml/item4.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2.xml"/><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NELab\Desktop\Course_miniproject_data\Journal_Paper_Writing\ITC_Paper\V_A_Paper%20draft\FHN_Final%20Draft\Supplementary%20Material_R3\Supplementary_Material_Figures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790D8E41E5925D438EA67F87E3A12AB2" ma:contentTypeVersion="7" ma:contentTypeDescription="Create a new document." ma:contentTypeScope="" ma:versionID="8bdd17edd7841309b011f05307ad384b">
  <xsd:schema xmlns:xsd="http://www.w3.org/2001/XMLSchema" xmlns:p="http://schemas.microsoft.com/office/2006/metadata/properties" xmlns:ns2="684028b4-177f-4616-bee8-7fd0d2a07079" targetNamespace="http://schemas.microsoft.com/office/2006/metadata/properties" ma:root="true" ma:fieldsID="04bb468a12bc5f450ddbcfab054fe475" ns2:_="">
    <xsd:import namespace="684028b4-177f-4616-bee8-7fd0d2a07079"/>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684028b4-177f-4616-bee8-7fd0d2a07079"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Type xmlns="684028b4-177f-4616-bee8-7fd0d2a07079">Table</DocumentType>
    <DocumentId xmlns="684028b4-177f-4616-bee8-7fd0d2a07079">Table 1.DOCX</DocumentId>
    <Checked_x0020_Out_x0020_To xmlns="684028b4-177f-4616-bee8-7fd0d2a07079">
      <UserInfo>
        <DisplayName/>
        <AccountId xsi:nil="true"/>
        <AccountType/>
      </UserInfo>
    </Checked_x0020_Out_x0020_To>
    <StageName xmlns="684028b4-177f-4616-bee8-7fd0d2a07079" xsi:nil="true"/>
    <IsDeleted xmlns="684028b4-177f-4616-bee8-7fd0d2a07079">false</IsDeleted>
    <FileFormat xmlns="684028b4-177f-4616-bee8-7fd0d2a07079">DOCX</FileFormat>
    <TitleName xmlns="684028b4-177f-4616-bee8-7fd0d2a07079">Table 1.DOCX</TitleName>
  </documentManagement>
</p:properties>
</file>

<file path=customXml/itemProps1.xml><?xml version="1.0" encoding="utf-8"?>
<ds:datastoreItem xmlns:ds="http://schemas.openxmlformats.org/officeDocument/2006/customXml" ds:itemID="{BBC4FCF4-525B-415D-8B17-6C9CE138622F}"/>
</file>

<file path=customXml/itemProps2.xml><?xml version="1.0" encoding="utf-8"?>
<ds:datastoreItem xmlns:ds="http://schemas.openxmlformats.org/officeDocument/2006/customXml" ds:itemID="{8CF38CC0-936F-486F-B214-40C1BBBE64E8}"/>
</file>

<file path=customXml/itemProps3.xml><?xml version="1.0" encoding="utf-8"?>
<ds:datastoreItem xmlns:ds="http://schemas.openxmlformats.org/officeDocument/2006/customXml" ds:itemID="{F65A7FC8-1E8C-4B91-A617-A5B0D396E68A}"/>
</file>

<file path=customXml/itemProps4.xml><?xml version="1.0" encoding="utf-8"?>
<ds:datastoreItem xmlns:ds="http://schemas.openxmlformats.org/officeDocument/2006/customXml" ds:itemID="{047CACA9-3AB8-4555-BB75-833BADC25458}"/>
</file>

<file path=docProps/app.xml><?xml version="1.0" encoding="utf-8"?>
<Properties xmlns="http://schemas.openxmlformats.org/officeDocument/2006/extended-properties" xmlns:vt="http://schemas.openxmlformats.org/officeDocument/2006/docPropsVTypes">
  <Template>Supplementary_Material_FiguresR</Template>
  <TotalTime>67</TotalTime>
  <Pages>7</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NELab</dc:creator>
  <cp:lastModifiedBy>NELab</cp:lastModifiedBy>
  <cp:revision>50</cp:revision>
  <cp:lastPrinted>2013-10-03T12:51:00Z</cp:lastPrinted>
  <dcterms:created xsi:type="dcterms:W3CDTF">2017-05-01T05:54:00Z</dcterms:created>
  <dcterms:modified xsi:type="dcterms:W3CDTF">2018-01-16T08:03:00Z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0x010100790D8E41E5925D438EA67F87E3A12AB2</vt:lpwstr>
  </property>
</Properties>
</file>